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E1F" w:rsidRDefault="0013718D" w:rsidP="00455E1F">
      <w:pPr>
        <w:pStyle w:val="Heading1"/>
      </w:pPr>
      <w:r>
        <w:t xml:space="preserve"> </w:t>
      </w:r>
      <w:bookmarkStart w:id="0" w:name="_Toc193615428"/>
      <w:r w:rsidR="00565B35">
        <w:t>ANALYTICAL INVESTIGATION</w:t>
      </w:r>
      <w:bookmarkEnd w:id="0"/>
    </w:p>
    <w:p w:rsidR="00F45F7A" w:rsidRDefault="00F45F7A" w:rsidP="00DD74D7">
      <w:pPr>
        <w:spacing w:line="240" w:lineRule="auto"/>
      </w:pPr>
    </w:p>
    <w:p w:rsidR="00F45F7A" w:rsidRDefault="00F45F7A" w:rsidP="00DD74D7">
      <w:pPr>
        <w:spacing w:line="240" w:lineRule="auto"/>
      </w:pPr>
    </w:p>
    <w:p w:rsidR="00F45F7A" w:rsidRPr="00F45F7A" w:rsidRDefault="00F45F7A" w:rsidP="00DD74D7">
      <w:pPr>
        <w:spacing w:line="240" w:lineRule="auto"/>
      </w:pPr>
    </w:p>
    <w:p w:rsidR="00455E1F" w:rsidRDefault="00455E1F" w:rsidP="00455E1F">
      <w:pPr>
        <w:pStyle w:val="Heading2"/>
      </w:pPr>
      <w:bookmarkStart w:id="1" w:name="_Toc193615429"/>
      <w:r>
        <w:t>Introduction</w:t>
      </w:r>
      <w:bookmarkEnd w:id="1"/>
    </w:p>
    <w:p w:rsidR="00D705E8" w:rsidRDefault="00433552" w:rsidP="00D705E8">
      <w:pPr>
        <w:ind w:firstLine="576"/>
      </w:pPr>
      <w:r>
        <w:t xml:space="preserve">An analytical investigation was conducted to estimate the </w:t>
      </w:r>
      <w:r w:rsidR="00D705E8">
        <w:t xml:space="preserve">longitudinal </w:t>
      </w:r>
      <w:r>
        <w:t xml:space="preserve">displacements </w:t>
      </w:r>
      <w:r w:rsidR="00864785">
        <w:t>of an</w:t>
      </w:r>
      <w:r>
        <w:t xml:space="preserve"> integral abutment during a seismic event.  </w:t>
      </w:r>
      <w:r w:rsidR="00D705E8">
        <w:t>D</w:t>
      </w:r>
      <w:r>
        <w:t xml:space="preserve">isplacements were computed based on the design ground motions developed in Chapter 2.  </w:t>
      </w:r>
      <w:r w:rsidR="00864785">
        <w:t xml:space="preserve">Portions of the analytical model were calibrated to the field results discussed in Chapter 3.  </w:t>
      </w:r>
      <w:r w:rsidR="00990A13">
        <w:t xml:space="preserve">The computed seismic displacements are compared to the allowable displacements developed </w:t>
      </w:r>
      <w:r w:rsidR="00864785">
        <w:t xml:space="preserve">based on laboratory experiments discussed </w:t>
      </w:r>
      <w:r w:rsidR="00990A13">
        <w:t xml:space="preserve">in Chapter 4.  </w:t>
      </w:r>
    </w:p>
    <w:p w:rsidR="00D705E8" w:rsidRDefault="00E56F64" w:rsidP="00D705E8">
      <w:pPr>
        <w:pStyle w:val="Heading2"/>
      </w:pPr>
      <w:bookmarkStart w:id="2" w:name="_Toc193615430"/>
      <w:r>
        <w:t>Modeling Approach</w:t>
      </w:r>
      <w:bookmarkEnd w:id="2"/>
    </w:p>
    <w:p w:rsidR="00C77816" w:rsidRDefault="00D705E8" w:rsidP="00C77816">
      <w:pPr>
        <w:ind w:firstLine="576"/>
      </w:pPr>
      <w:r>
        <w:t xml:space="preserve">A series of </w:t>
      </w:r>
      <w:r w:rsidR="00E56F64">
        <w:t xml:space="preserve">detailed </w:t>
      </w:r>
      <w:r>
        <w:t xml:space="preserve">two-dimensional models were constructed using SAP2000 v9.  </w:t>
      </w:r>
      <w:r w:rsidR="00224510">
        <w:t>The two-dimensional models represent the bridge</w:t>
      </w:r>
      <w:r w:rsidR="00792FE2">
        <w:t>, including the foundation piles,</w:t>
      </w:r>
      <w:r w:rsidR="00224510">
        <w:t xml:space="preserve"> as a portal frame.  </w:t>
      </w:r>
      <w:r w:rsidR="00792FE2">
        <w:t xml:space="preserve">The model is fixed at the base of the piles.  The soil surrounding the piles and behind the abutments are modeled as a series of non-linear spring elements.  Intermediate bridge piers are modeled as roller supports.  </w:t>
      </w:r>
      <w:r w:rsidR="00860736">
        <w:t xml:space="preserve">This assumption is conservative for the estimation of abutment displacements and represents typical construction with the use of elastomeric bearings.  </w:t>
      </w:r>
      <w:r w:rsidR="00224510">
        <w:t xml:space="preserve">A </w:t>
      </w:r>
      <w:r w:rsidR="00792FE2">
        <w:t xml:space="preserve">typical two-dimensional bridge model is shown in </w:t>
      </w:r>
      <w:r w:rsidR="00CD6D06">
        <w:fldChar w:fldCharType="begin"/>
      </w:r>
      <w:r w:rsidR="00792FE2">
        <w:instrText xml:space="preserve"> REF _Ref191553772 \h </w:instrText>
      </w:r>
      <w:r w:rsidR="00CD6D06">
        <w:fldChar w:fldCharType="separate"/>
      </w:r>
      <w:r w:rsidR="00EF3F11">
        <w:t xml:space="preserve">Figure </w:t>
      </w:r>
      <w:r w:rsidR="00EF3F11">
        <w:rPr>
          <w:noProof/>
        </w:rPr>
        <w:t>5</w:t>
      </w:r>
      <w:r w:rsidR="00EF3F11">
        <w:t>.</w:t>
      </w:r>
      <w:r w:rsidR="00EF3F11">
        <w:rPr>
          <w:noProof/>
        </w:rPr>
        <w:t>1</w:t>
      </w:r>
      <w:r w:rsidR="00CD6D06">
        <w:fldChar w:fldCharType="end"/>
      </w:r>
      <w:r w:rsidR="00224510">
        <w:t>.</w:t>
      </w:r>
      <w:r w:rsidR="00792FE2">
        <w:t xml:space="preserve">  The modeling geometry and properties of each element of the two-dimensional model are discussed in the following sections.</w:t>
      </w:r>
      <w:r w:rsidR="00224510">
        <w:t xml:space="preserve">  </w:t>
      </w:r>
    </w:p>
    <w:p w:rsidR="00EB5031" w:rsidRDefault="00EB5031" w:rsidP="00EB5031">
      <w:pPr>
        <w:pStyle w:val="Heading3"/>
      </w:pPr>
      <w:bookmarkStart w:id="3" w:name="_Toc193615431"/>
      <w:r>
        <w:t>Geometry</w:t>
      </w:r>
      <w:bookmarkEnd w:id="3"/>
    </w:p>
    <w:p w:rsidR="00EB5031" w:rsidRDefault="00EB5031" w:rsidP="00860736">
      <w:pPr>
        <w:ind w:firstLine="576"/>
      </w:pPr>
      <w:r>
        <w:t xml:space="preserve">Five bridge lengths were used in this investigation: 200 ft, 400 ft, 600 ft, 800 ft, and 1000 ft.  </w:t>
      </w:r>
      <w:r w:rsidR="008B6A56">
        <w:t xml:space="preserve">The span lengths for each case were 60-70 ft.  An abutment height of 10 ft and pile length of 40 ft was used for all cases.  </w:t>
      </w:r>
      <w:r w:rsidR="00860736">
        <w:t xml:space="preserve">The selected span lengths, abutment heights, </w:t>
      </w:r>
      <w:r w:rsidR="00860736">
        <w:lastRenderedPageBreak/>
        <w:t xml:space="preserve">and pile lengths represent typical construction.  </w:t>
      </w:r>
      <w:r>
        <w:t xml:space="preserve">The geometry </w:t>
      </w:r>
      <w:r w:rsidR="00860736">
        <w:t xml:space="preserve">and support conditions of these </w:t>
      </w:r>
      <w:r w:rsidR="00E56F64">
        <w:t>models are</w:t>
      </w:r>
      <w:r>
        <w:t xml:space="preserve"> </w:t>
      </w:r>
      <w:r w:rsidR="008B6A56">
        <w:t>summarized</w:t>
      </w:r>
      <w:r>
        <w:t xml:space="preserve"> in </w:t>
      </w:r>
      <w:r w:rsidR="00CD6D06">
        <w:fldChar w:fldCharType="begin"/>
      </w:r>
      <w:r>
        <w:instrText xml:space="preserve"> REF _Ref191547880 \h </w:instrText>
      </w:r>
      <w:r w:rsidR="00CD6D06">
        <w:fldChar w:fldCharType="separate"/>
      </w:r>
      <w:r w:rsidR="00EF3F11">
        <w:t xml:space="preserve">Figure </w:t>
      </w:r>
      <w:r w:rsidR="00EF3F11">
        <w:rPr>
          <w:noProof/>
        </w:rPr>
        <w:t>5</w:t>
      </w:r>
      <w:r w:rsidR="00EF3F11">
        <w:t>.</w:t>
      </w:r>
      <w:r w:rsidR="00EF3F11">
        <w:rPr>
          <w:noProof/>
        </w:rPr>
        <w:t>2</w:t>
      </w:r>
      <w:r w:rsidR="00CD6D06">
        <w:fldChar w:fldCharType="end"/>
      </w:r>
      <w:r>
        <w:t xml:space="preserve">.  </w:t>
      </w:r>
      <w:r w:rsidR="00860736">
        <w:t xml:space="preserve">These layouts are considered the control geometry.  The effect of varying span length will also be considered.  </w:t>
      </w:r>
      <w:r w:rsidR="008B6A56">
        <w:t xml:space="preserve">The superstructure was </w:t>
      </w:r>
      <w:r w:rsidR="00E56F64">
        <w:t xml:space="preserve">discretized into </w:t>
      </w:r>
      <w:r w:rsidR="008B6A56">
        <w:t>10 ft elements</w:t>
      </w:r>
      <w:r w:rsidR="00E56F64">
        <w:t xml:space="preserve"> to ensure a reasonable distribution of mass</w:t>
      </w:r>
      <w:r w:rsidR="008B6A56">
        <w:t xml:space="preserve">.  To allow the incorporation of soil springs, the abutments were </w:t>
      </w:r>
      <w:r w:rsidR="00E56F64">
        <w:t xml:space="preserve">discretized into </w:t>
      </w:r>
      <w:r w:rsidR="008B6A56">
        <w:t xml:space="preserve">1 ft elements.  </w:t>
      </w:r>
      <w:r w:rsidR="00E56F64">
        <w:t>Similarly, t</w:t>
      </w:r>
      <w:r w:rsidR="008B6A56">
        <w:t xml:space="preserve">he piles were </w:t>
      </w:r>
      <w:r w:rsidR="00E56F64">
        <w:t>discretized into</w:t>
      </w:r>
      <w:r w:rsidR="008B6A56">
        <w:t xml:space="preserve"> 1 ft elements for the </w:t>
      </w:r>
      <w:r w:rsidR="00860736">
        <w:t>top</w:t>
      </w:r>
      <w:r w:rsidR="008B6A56">
        <w:t xml:space="preserve"> 10 ft of pile and 2 ft elements for the remaining 30 ft.</w:t>
      </w:r>
    </w:p>
    <w:p w:rsidR="001C34AA" w:rsidRDefault="001C34AA" w:rsidP="00C77816">
      <w:pPr>
        <w:ind w:firstLine="576"/>
      </w:pPr>
    </w:p>
    <w:p w:rsidR="001C34AA" w:rsidRDefault="001C34AA" w:rsidP="001C34AA">
      <w:pPr>
        <w:jc w:val="center"/>
      </w:pPr>
      <w:r w:rsidRPr="001C34AA">
        <w:rPr>
          <w:noProof/>
        </w:rPr>
        <w:drawing>
          <wp:inline distT="0" distB="0" distL="0" distR="0">
            <wp:extent cx="5339976" cy="2699578"/>
            <wp:effectExtent l="0" t="0" r="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339976" cy="2699578"/>
                    </a:xfrm>
                    <a:prstGeom prst="rect">
                      <a:avLst/>
                    </a:prstGeom>
                    <a:noFill/>
                    <a:ln w="9525">
                      <a:noFill/>
                      <a:miter lim="800000"/>
                      <a:headEnd/>
                      <a:tailEnd/>
                    </a:ln>
                  </pic:spPr>
                </pic:pic>
              </a:graphicData>
            </a:graphic>
          </wp:inline>
        </w:drawing>
      </w:r>
    </w:p>
    <w:p w:rsidR="00792FE2" w:rsidRDefault="00792FE2" w:rsidP="001C34AA">
      <w:pPr>
        <w:jc w:val="center"/>
      </w:pPr>
    </w:p>
    <w:p w:rsidR="00C77816" w:rsidRDefault="00792FE2" w:rsidP="00792FE2">
      <w:pPr>
        <w:pStyle w:val="Caption"/>
      </w:pPr>
      <w:bookmarkStart w:id="4" w:name="_Ref191553772"/>
      <w:bookmarkStart w:id="5" w:name="_Toc193615518"/>
      <w:r>
        <w:t xml:space="preserve">Figure </w:t>
      </w:r>
      <w:fldSimple w:instr=" STYLEREF 1 \s ">
        <w:r w:rsidR="00EF3F11">
          <w:rPr>
            <w:noProof/>
          </w:rPr>
          <w:t>5</w:t>
        </w:r>
      </w:fldSimple>
      <w:r w:rsidR="00630774">
        <w:t>.</w:t>
      </w:r>
      <w:fldSimple w:instr=" SEQ Figure \* ARABIC \s 1 ">
        <w:r w:rsidR="00EF3F11">
          <w:rPr>
            <w:noProof/>
          </w:rPr>
          <w:t>1</w:t>
        </w:r>
      </w:fldSimple>
      <w:bookmarkEnd w:id="4"/>
      <w:r>
        <w:t>: General Two-Dimensional Bridge Model</w:t>
      </w:r>
      <w:bookmarkEnd w:id="5"/>
    </w:p>
    <w:p w:rsidR="008B6A56" w:rsidRDefault="008B6A56">
      <w:pPr>
        <w:spacing w:line="240" w:lineRule="auto"/>
      </w:pPr>
    </w:p>
    <w:p w:rsidR="008B6A56" w:rsidRDefault="008B6A56" w:rsidP="008B6A56">
      <w:pPr>
        <w:pStyle w:val="Heading3"/>
      </w:pPr>
      <w:bookmarkStart w:id="6" w:name="_Toc193615432"/>
      <w:r>
        <w:t>Superstructure Element Properties</w:t>
      </w:r>
      <w:bookmarkEnd w:id="6"/>
    </w:p>
    <w:p w:rsidR="00D2332B" w:rsidRDefault="008B6A56" w:rsidP="00D2332B">
      <w:pPr>
        <w:ind w:firstLine="720"/>
      </w:pPr>
      <w:r>
        <w:t>The superstructure elements were modeled after the SR18 Bridge discussed in the field investigation</w:t>
      </w:r>
      <w:r w:rsidR="00230692">
        <w:t xml:space="preserve"> which represents a fairly typical integral abutment bridge</w:t>
      </w:r>
      <w:r>
        <w:t xml:space="preserve">.  The idealized cross-section used in the analysis is shown in </w:t>
      </w:r>
      <w:fldSimple w:instr=" REF _Ref191554904 \h  \* MERGEFORMAT ">
        <w:r w:rsidR="00EF3F11">
          <w:t xml:space="preserve">Figure </w:t>
        </w:r>
        <w:r w:rsidR="00EF3F11">
          <w:rPr>
            <w:noProof/>
          </w:rPr>
          <w:t>5.3</w:t>
        </w:r>
      </w:fldSimple>
      <w:r>
        <w:t xml:space="preserve">.  </w:t>
      </w:r>
      <w:r w:rsidR="00D2332B">
        <w:t>Accordingly, the superstructure elements have a moment of inertia of 4.56 x 10</w:t>
      </w:r>
      <w:r w:rsidR="00D2332B" w:rsidRPr="00D2332B">
        <w:rPr>
          <w:vertAlign w:val="superscript"/>
        </w:rPr>
        <w:t>6</w:t>
      </w:r>
      <w:r w:rsidR="00D2332B">
        <w:t xml:space="preserve"> in</w:t>
      </w:r>
      <w:r w:rsidR="00860736">
        <w:t>.</w:t>
      </w:r>
      <w:r w:rsidR="00D2332B" w:rsidRPr="00D2332B">
        <w:rPr>
          <w:vertAlign w:val="superscript"/>
        </w:rPr>
        <w:t>4</w:t>
      </w:r>
      <w:r w:rsidR="00D2332B">
        <w:t xml:space="preserve"> and a cross-sectional area of 9,100 in</w:t>
      </w:r>
      <w:r w:rsidR="00860736">
        <w:t>.</w:t>
      </w:r>
      <w:r w:rsidR="00D2332B" w:rsidRPr="00D2332B">
        <w:rPr>
          <w:vertAlign w:val="superscript"/>
        </w:rPr>
        <w:t>2</w:t>
      </w:r>
      <w:r w:rsidR="00D2332B">
        <w:t xml:space="preserve">  The modulus of elasticity for the superstructure elements was taken as 3,600 ksi</w:t>
      </w:r>
      <w:r w:rsidR="00860736">
        <w:t xml:space="preserve"> which corresponds to a concrete strength of 4000 psi</w:t>
      </w:r>
      <w:r w:rsidR="00D2332B">
        <w:t>.  As mentioned previously, the superstructure elements have a length of 10 ft.</w:t>
      </w:r>
    </w:p>
    <w:p w:rsidR="00D2332B" w:rsidRDefault="00D2332B" w:rsidP="00D2332B">
      <w:pPr>
        <w:pStyle w:val="Heading3"/>
      </w:pPr>
      <w:bookmarkStart w:id="7" w:name="_Toc193615433"/>
      <w:r>
        <w:lastRenderedPageBreak/>
        <w:t>Abutment Element Properties</w:t>
      </w:r>
      <w:bookmarkEnd w:id="7"/>
    </w:p>
    <w:p w:rsidR="005E2BF3" w:rsidRDefault="00D2332B" w:rsidP="00D2332B">
      <w:pPr>
        <w:ind w:firstLine="720"/>
      </w:pPr>
      <w:r>
        <w:t>The abutment was assumed to be 10 ft high, 50 ft wide, and 3 ft deep corresponding to a moment of inertia of 2.33 x 10</w:t>
      </w:r>
      <w:r w:rsidRPr="00E56F64">
        <w:rPr>
          <w:vertAlign w:val="superscript"/>
        </w:rPr>
        <w:t>6</w:t>
      </w:r>
      <w:r>
        <w:t xml:space="preserve"> in</w:t>
      </w:r>
      <w:r w:rsidRPr="00E56F64">
        <w:rPr>
          <w:vertAlign w:val="superscript"/>
        </w:rPr>
        <w:t>4</w:t>
      </w:r>
      <w:r>
        <w:t xml:space="preserve"> and a cross-sectional area of 21,600 in</w:t>
      </w:r>
      <w:r w:rsidR="00230692">
        <w:t>.</w:t>
      </w:r>
      <w:r w:rsidRPr="00E56F64">
        <w:rPr>
          <w:vertAlign w:val="superscript"/>
        </w:rPr>
        <w:t>2</w:t>
      </w:r>
      <w:r>
        <w:t xml:space="preserve">  The modulus of elasticity of the abutment elements were taken as 3,600 ksi.</w:t>
      </w:r>
      <w:r w:rsidR="00230692">
        <w:t xml:space="preserve">  The abutment was modeled with</w:t>
      </w:r>
      <w:r w:rsidR="00755D3A">
        <w:t xml:space="preserve"> 1 ft elements to allow the incorporation of the abutment-soil springs.</w:t>
      </w:r>
    </w:p>
    <w:p w:rsidR="005E2BF3" w:rsidRDefault="005E2BF3" w:rsidP="005E2BF3">
      <w:pPr>
        <w:spacing w:line="240" w:lineRule="auto"/>
        <w:jc w:val="center"/>
      </w:pPr>
    </w:p>
    <w:p w:rsidR="005E2BF3" w:rsidRDefault="005E2BF3" w:rsidP="005E2BF3">
      <w:pPr>
        <w:spacing w:line="240" w:lineRule="auto"/>
        <w:jc w:val="center"/>
      </w:pPr>
      <w:r w:rsidRPr="001C4B76">
        <w:rPr>
          <w:noProof/>
        </w:rPr>
        <w:drawing>
          <wp:inline distT="0" distB="0" distL="0" distR="0">
            <wp:extent cx="4144140" cy="5626530"/>
            <wp:effectExtent l="19050" t="0" r="8760"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4144140" cy="5626530"/>
                    </a:xfrm>
                    <a:prstGeom prst="rect">
                      <a:avLst/>
                    </a:prstGeom>
                    <a:noFill/>
                    <a:ln w="9525">
                      <a:noFill/>
                      <a:miter lim="800000"/>
                      <a:headEnd/>
                      <a:tailEnd/>
                    </a:ln>
                  </pic:spPr>
                </pic:pic>
              </a:graphicData>
            </a:graphic>
          </wp:inline>
        </w:drawing>
      </w:r>
    </w:p>
    <w:p w:rsidR="005E2BF3" w:rsidRDefault="005E2BF3" w:rsidP="005E2BF3">
      <w:pPr>
        <w:spacing w:line="240" w:lineRule="auto"/>
      </w:pPr>
    </w:p>
    <w:p w:rsidR="005E2BF3" w:rsidRDefault="005E2BF3" w:rsidP="005E2BF3">
      <w:pPr>
        <w:spacing w:line="240" w:lineRule="auto"/>
      </w:pPr>
    </w:p>
    <w:p w:rsidR="005E2BF3" w:rsidRDefault="005E2BF3" w:rsidP="005E2BF3">
      <w:pPr>
        <w:pStyle w:val="Caption"/>
        <w:rPr>
          <w:rFonts w:cs="Arial"/>
          <w:b w:val="0"/>
          <w:bCs w:val="0"/>
          <w:iCs/>
          <w:u w:val="single"/>
        </w:rPr>
      </w:pPr>
      <w:bookmarkStart w:id="8" w:name="_Ref191547880"/>
      <w:bookmarkStart w:id="9" w:name="_Toc193615519"/>
      <w:r>
        <w:t xml:space="preserve">Figure </w:t>
      </w:r>
      <w:fldSimple w:instr=" STYLEREF 1 \s ">
        <w:r w:rsidR="00EF3F11">
          <w:rPr>
            <w:noProof/>
          </w:rPr>
          <w:t>5</w:t>
        </w:r>
      </w:fldSimple>
      <w:r w:rsidR="00630774">
        <w:t>.</w:t>
      </w:r>
      <w:fldSimple w:instr=" SEQ Figure \* ARABIC \s 1 ">
        <w:r w:rsidR="00EF3F11">
          <w:rPr>
            <w:noProof/>
          </w:rPr>
          <w:t>2</w:t>
        </w:r>
      </w:fldSimple>
      <w:bookmarkEnd w:id="8"/>
      <w:r w:rsidR="00F45F7A">
        <w:t xml:space="preserve">: </w:t>
      </w:r>
      <w:r>
        <w:t>Analysis Geometry</w:t>
      </w:r>
      <w:bookmarkEnd w:id="9"/>
      <w:r>
        <w:br w:type="page"/>
      </w:r>
    </w:p>
    <w:p w:rsidR="00C77816" w:rsidRDefault="005E2BF3" w:rsidP="005E2BF3">
      <w:pPr>
        <w:jc w:val="center"/>
      </w:pPr>
      <w:r w:rsidRPr="005E2BF3">
        <w:rPr>
          <w:noProof/>
        </w:rPr>
        <w:lastRenderedPageBreak/>
        <w:drawing>
          <wp:inline distT="0" distB="0" distL="0" distR="0">
            <wp:extent cx="4314825" cy="24574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314825" cy="2457450"/>
                    </a:xfrm>
                    <a:prstGeom prst="rect">
                      <a:avLst/>
                    </a:prstGeom>
                    <a:noFill/>
                    <a:ln w="9525">
                      <a:noFill/>
                      <a:miter lim="800000"/>
                      <a:headEnd/>
                      <a:tailEnd/>
                    </a:ln>
                  </pic:spPr>
                </pic:pic>
              </a:graphicData>
            </a:graphic>
          </wp:inline>
        </w:drawing>
      </w:r>
    </w:p>
    <w:p w:rsidR="005E2BF3" w:rsidRDefault="005E2BF3" w:rsidP="005E2BF3">
      <w:pPr>
        <w:jc w:val="center"/>
      </w:pPr>
    </w:p>
    <w:p w:rsidR="005E2BF3" w:rsidRDefault="00224510" w:rsidP="00224510">
      <w:pPr>
        <w:pStyle w:val="Caption"/>
      </w:pPr>
      <w:bookmarkStart w:id="10" w:name="_Ref191554904"/>
      <w:bookmarkStart w:id="11" w:name="_Toc193615520"/>
      <w:r>
        <w:t xml:space="preserve">Figure </w:t>
      </w:r>
      <w:fldSimple w:instr=" STYLEREF 1 \s ">
        <w:r w:rsidR="00EF3F11">
          <w:rPr>
            <w:noProof/>
          </w:rPr>
          <w:t>5</w:t>
        </w:r>
      </w:fldSimple>
      <w:r w:rsidR="00630774">
        <w:t>.</w:t>
      </w:r>
      <w:fldSimple w:instr=" SEQ Figure \* ARABIC \s 1 ">
        <w:r w:rsidR="00EF3F11">
          <w:rPr>
            <w:noProof/>
          </w:rPr>
          <w:t>3</w:t>
        </w:r>
      </w:fldSimple>
      <w:bookmarkEnd w:id="10"/>
      <w:r>
        <w:t>: Superstructure Element Properties</w:t>
      </w:r>
      <w:bookmarkEnd w:id="11"/>
    </w:p>
    <w:p w:rsidR="005E2BF3" w:rsidRDefault="005E2BF3" w:rsidP="005E2BF3">
      <w:pPr>
        <w:jc w:val="center"/>
      </w:pPr>
    </w:p>
    <w:p w:rsidR="00C77816" w:rsidRDefault="00C77816" w:rsidP="00D705E8"/>
    <w:p w:rsidR="00C77816" w:rsidRDefault="00C77816" w:rsidP="00C77816">
      <w:pPr>
        <w:pStyle w:val="Heading3"/>
      </w:pPr>
      <w:bookmarkStart w:id="12" w:name="_Toc193615434"/>
      <w:r>
        <w:t>Pile Element Properties</w:t>
      </w:r>
      <w:bookmarkEnd w:id="12"/>
    </w:p>
    <w:p w:rsidR="00C77816" w:rsidRDefault="002256EC" w:rsidP="002256EC">
      <w:pPr>
        <w:ind w:firstLine="720"/>
      </w:pPr>
      <w:r>
        <w:t xml:space="preserve">For the pile elements, it was assumed that the abutment was supported on a single </w:t>
      </w:r>
      <w:r w:rsidR="00E56F64">
        <w:t>row</w:t>
      </w:r>
      <w:r>
        <w:t xml:space="preserve"> of 10 – HP12X53 piles oriented in weak-axis bending.  </w:t>
      </w:r>
      <w:r w:rsidR="00230692">
        <w:t xml:space="preserve">The HP12X53 section is the smallest typically used in integral abutment construction in Indiana and represents a lower bound in terms of lateral pile stiffness.  </w:t>
      </w:r>
      <w:r>
        <w:t>The moment of inertia and cross-section area for a single HP12X53 pile are 127 in</w:t>
      </w:r>
      <w:r w:rsidR="00230692">
        <w:t>.</w:t>
      </w:r>
      <w:r w:rsidRPr="002256EC">
        <w:rPr>
          <w:vertAlign w:val="superscript"/>
        </w:rPr>
        <w:t>4</w:t>
      </w:r>
      <w:r>
        <w:t xml:space="preserve"> and 15.5 in</w:t>
      </w:r>
      <w:r w:rsidR="00230692">
        <w:t>.</w:t>
      </w:r>
      <w:r w:rsidRPr="002256EC">
        <w:rPr>
          <w:vertAlign w:val="superscript"/>
        </w:rPr>
        <w:t>2</w:t>
      </w:r>
      <w:r>
        <w:t xml:space="preserve">, respectively.  The row of ten piles are </w:t>
      </w:r>
      <w:r w:rsidR="003726ED">
        <w:t xml:space="preserve">then </w:t>
      </w:r>
      <w:r>
        <w:t>lumped together in the two-dimensional model resulting in a pile element with a moment of inertia and cross-sectional area of 1,270 in</w:t>
      </w:r>
      <w:r w:rsidR="00230692">
        <w:t>.</w:t>
      </w:r>
      <w:r w:rsidRPr="002256EC">
        <w:rPr>
          <w:vertAlign w:val="superscript"/>
        </w:rPr>
        <w:t>4</w:t>
      </w:r>
      <w:r>
        <w:t xml:space="preserve"> and 155 in</w:t>
      </w:r>
      <w:r w:rsidR="00230692">
        <w:t>.</w:t>
      </w:r>
      <w:r w:rsidRPr="002256EC">
        <w:rPr>
          <w:vertAlign w:val="superscript"/>
        </w:rPr>
        <w:t>2</w:t>
      </w:r>
      <w:r>
        <w:t>, respectiv</w:t>
      </w:r>
      <w:r w:rsidR="00230692">
        <w:t>ely.  The piles are modeled using</w:t>
      </w:r>
      <w:r>
        <w:t xml:space="preserve"> 1 ft elements for the first 10 ft of pile and 2 ft elements for the remaining 30 ft. </w:t>
      </w:r>
    </w:p>
    <w:p w:rsidR="00C77816" w:rsidRDefault="00E72A62" w:rsidP="00C77816">
      <w:pPr>
        <w:pStyle w:val="Heading3"/>
      </w:pPr>
      <w:bookmarkStart w:id="13" w:name="_Toc193615435"/>
      <w:r>
        <w:t>Pile</w:t>
      </w:r>
      <w:r w:rsidR="00230692">
        <w:t>-</w:t>
      </w:r>
      <w:r w:rsidR="00C77816">
        <w:t>Soil Spring Properties</w:t>
      </w:r>
      <w:bookmarkEnd w:id="13"/>
    </w:p>
    <w:p w:rsidR="00C77816" w:rsidRDefault="00230692" w:rsidP="00353186">
      <w:pPr>
        <w:ind w:firstLine="720"/>
      </w:pPr>
      <w:r>
        <w:t>The pile-</w:t>
      </w:r>
      <w:r w:rsidR="00E779CA">
        <w:t>soil springs were modeled usi</w:t>
      </w:r>
      <w:r w:rsidR="00AB28AA">
        <w:t xml:space="preserve">ng non-linear link elements with </w:t>
      </w:r>
      <w:r w:rsidR="00E779CA">
        <w:t xml:space="preserve">elastic-plastic </w:t>
      </w:r>
      <w:r w:rsidR="00AB28AA">
        <w:t xml:space="preserve">force-displacement characteristics </w:t>
      </w:r>
      <w:r w:rsidR="00E779CA">
        <w:t>as shown in</w:t>
      </w:r>
      <w:r w:rsidR="00CB5AF7">
        <w:t xml:space="preserve"> </w:t>
      </w:r>
      <w:r w:rsidR="00CD6D06">
        <w:fldChar w:fldCharType="begin"/>
      </w:r>
      <w:r w:rsidR="00CB5AF7">
        <w:instrText xml:space="preserve"> REF _Ref191615217 \h </w:instrText>
      </w:r>
      <w:r w:rsidR="00CD6D06">
        <w:fldChar w:fldCharType="separate"/>
      </w:r>
      <w:r w:rsidR="00EF3F11">
        <w:t xml:space="preserve">Figure </w:t>
      </w:r>
      <w:r w:rsidR="00EF3F11">
        <w:rPr>
          <w:noProof/>
        </w:rPr>
        <w:t>5</w:t>
      </w:r>
      <w:r w:rsidR="00EF3F11">
        <w:t>.</w:t>
      </w:r>
      <w:r w:rsidR="00EF3F11">
        <w:rPr>
          <w:noProof/>
        </w:rPr>
        <w:t>4</w:t>
      </w:r>
      <w:r w:rsidR="00CD6D06">
        <w:fldChar w:fldCharType="end"/>
      </w:r>
      <w:r w:rsidR="00E779CA">
        <w:t xml:space="preserve">.  The values for </w:t>
      </w:r>
      <w:r w:rsidR="00D83A45" w:rsidRPr="005B0C56">
        <w:rPr>
          <w:i/>
        </w:rPr>
        <w:t>k</w:t>
      </w:r>
      <w:r w:rsidR="00D83A45">
        <w:t xml:space="preserve"> and </w:t>
      </w:r>
      <w:r w:rsidR="005B0C56" w:rsidRPr="005B0C56">
        <w:rPr>
          <w:i/>
        </w:rPr>
        <w:t>P</w:t>
      </w:r>
      <w:r w:rsidR="00D83A45" w:rsidRPr="005B0C56">
        <w:rPr>
          <w:i/>
          <w:vertAlign w:val="subscript"/>
        </w:rPr>
        <w:t>u</w:t>
      </w:r>
      <w:r w:rsidR="00D83A45">
        <w:t xml:space="preserve"> were computed using the following expressions which are based on the recommendations of Greimann (1984):</w:t>
      </w:r>
    </w:p>
    <w:p w:rsidR="00D83A45" w:rsidRDefault="00D83A45" w:rsidP="00D705E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9"/>
        <w:gridCol w:w="6199"/>
        <w:gridCol w:w="1328"/>
      </w:tblGrid>
      <w:tr w:rsidR="0041480A" w:rsidTr="00CC0DA9">
        <w:tc>
          <w:tcPr>
            <w:tcW w:w="750" w:type="pct"/>
            <w:vAlign w:val="center"/>
          </w:tcPr>
          <w:p w:rsidR="0041480A" w:rsidRDefault="0041480A"/>
        </w:tc>
        <w:tc>
          <w:tcPr>
            <w:tcW w:w="3500" w:type="pct"/>
            <w:vAlign w:val="center"/>
          </w:tcPr>
          <w:p w:rsidR="0041480A" w:rsidRDefault="0041480A" w:rsidP="00CC0DA9">
            <w:pPr>
              <w:jc w:val="center"/>
            </w:pPr>
            <m:oMathPara>
              <m:oMath>
                <m:r>
                  <w:rPr>
                    <w:rFonts w:ascii="Cambria Math" w:hAnsi="Cambria Math"/>
                  </w:rPr>
                  <m:t>k=</m:t>
                </m:r>
                <m:d>
                  <m:dPr>
                    <m:ctrlPr>
                      <w:rPr>
                        <w:rFonts w:ascii="Cambria Math" w:hAnsi="Cambria Math"/>
                        <w:i/>
                      </w:rPr>
                    </m:ctrlPr>
                  </m:dPr>
                  <m:e>
                    <m:f>
                      <m:fPr>
                        <m:ctrlPr>
                          <w:rPr>
                            <w:rFonts w:ascii="Cambria Math" w:hAnsi="Cambria Math"/>
                            <w:i/>
                          </w:rPr>
                        </m:ctrlPr>
                      </m:fPr>
                      <m:num>
                        <m:r>
                          <w:rPr>
                            <w:rFonts w:ascii="Cambria Math" w:hAnsi="Cambria Math"/>
                          </w:rPr>
                          <m:t>Jγ</m:t>
                        </m:r>
                      </m:num>
                      <m:den>
                        <m:r>
                          <w:rPr>
                            <w:rFonts w:ascii="Cambria Math" w:hAnsi="Cambria Math"/>
                          </w:rPr>
                          <m:t>1.35</m:t>
                        </m:r>
                      </m:den>
                    </m:f>
                  </m:e>
                </m:d>
                <m:r>
                  <w:rPr>
                    <w:rFonts w:ascii="Cambria Math" w:hAnsi="Cambria Math"/>
                  </w:rPr>
                  <m:t>∙z∙s</m:t>
                </m:r>
              </m:oMath>
            </m:oMathPara>
          </w:p>
        </w:tc>
        <w:tc>
          <w:tcPr>
            <w:tcW w:w="750" w:type="pct"/>
            <w:vAlign w:val="center"/>
          </w:tcPr>
          <w:p w:rsidR="0041480A" w:rsidRPr="0041480A" w:rsidRDefault="0041480A" w:rsidP="0041480A">
            <w:pPr>
              <w:pStyle w:val="ListParagraph"/>
              <w:numPr>
                <w:ilvl w:val="0"/>
                <w:numId w:val="6"/>
              </w:numPr>
              <w:spacing w:after="0" w:line="240" w:lineRule="auto"/>
              <w:jc w:val="right"/>
              <w:rPr>
                <w:vanish/>
              </w:rPr>
            </w:pPr>
          </w:p>
          <w:p w:rsidR="0041480A" w:rsidRPr="0041480A" w:rsidRDefault="0041480A" w:rsidP="0041480A">
            <w:pPr>
              <w:pStyle w:val="ListParagraph"/>
              <w:numPr>
                <w:ilvl w:val="0"/>
                <w:numId w:val="6"/>
              </w:numPr>
              <w:spacing w:after="0" w:line="240" w:lineRule="auto"/>
              <w:jc w:val="right"/>
              <w:rPr>
                <w:vanish/>
              </w:rPr>
            </w:pPr>
          </w:p>
          <w:p w:rsidR="0041480A" w:rsidRPr="0041480A" w:rsidRDefault="0041480A" w:rsidP="0041480A">
            <w:pPr>
              <w:pStyle w:val="ListParagraph"/>
              <w:numPr>
                <w:ilvl w:val="0"/>
                <w:numId w:val="6"/>
              </w:numPr>
              <w:spacing w:after="0" w:line="240" w:lineRule="auto"/>
              <w:jc w:val="right"/>
              <w:rPr>
                <w:vanish/>
              </w:rPr>
            </w:pPr>
          </w:p>
          <w:p w:rsidR="0041480A" w:rsidRPr="0041480A" w:rsidRDefault="0041480A" w:rsidP="0041480A">
            <w:pPr>
              <w:pStyle w:val="ListParagraph"/>
              <w:numPr>
                <w:ilvl w:val="0"/>
                <w:numId w:val="6"/>
              </w:numPr>
              <w:spacing w:after="0" w:line="240" w:lineRule="auto"/>
              <w:jc w:val="right"/>
              <w:rPr>
                <w:vanish/>
              </w:rPr>
            </w:pPr>
          </w:p>
          <w:p w:rsidR="0041480A" w:rsidRPr="0041480A" w:rsidRDefault="0041480A" w:rsidP="0041480A">
            <w:pPr>
              <w:pStyle w:val="ListParagraph"/>
              <w:numPr>
                <w:ilvl w:val="0"/>
                <w:numId w:val="6"/>
              </w:numPr>
              <w:spacing w:after="0" w:line="240" w:lineRule="auto"/>
              <w:jc w:val="right"/>
              <w:rPr>
                <w:vanish/>
              </w:rPr>
            </w:pPr>
          </w:p>
          <w:p w:rsidR="0041480A" w:rsidRDefault="0041480A" w:rsidP="0041480A">
            <w:pPr>
              <w:pStyle w:val="ListParagraph"/>
              <w:numPr>
                <w:ilvl w:val="1"/>
                <w:numId w:val="6"/>
              </w:numPr>
              <w:spacing w:after="0" w:line="240" w:lineRule="auto"/>
              <w:jc w:val="right"/>
            </w:pPr>
          </w:p>
        </w:tc>
      </w:tr>
    </w:tbl>
    <w:p w:rsidR="00D83A45" w:rsidRDefault="00D83A45" w:rsidP="009E570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9"/>
        <w:gridCol w:w="6199"/>
        <w:gridCol w:w="1328"/>
      </w:tblGrid>
      <w:tr w:rsidR="00B073CB" w:rsidTr="00CC0DA9">
        <w:tc>
          <w:tcPr>
            <w:tcW w:w="750" w:type="pct"/>
            <w:vAlign w:val="center"/>
          </w:tcPr>
          <w:p w:rsidR="00B073CB" w:rsidRDefault="00B073CB"/>
        </w:tc>
        <w:tc>
          <w:tcPr>
            <w:tcW w:w="3500" w:type="pct"/>
            <w:vAlign w:val="center"/>
          </w:tcPr>
          <w:p w:rsidR="00B073CB" w:rsidRDefault="00CD6D06" w:rsidP="00CC0DA9">
            <w:pPr>
              <w:jc w:val="center"/>
            </w:pPr>
            <m:oMathPara>
              <m:oMath>
                <m:sSub>
                  <m:sSubPr>
                    <m:ctrlPr>
                      <w:rPr>
                        <w:rFonts w:ascii="Cambria Math" w:hAnsi="Cambria Math"/>
                        <w:i/>
                      </w:rPr>
                    </m:ctrlPr>
                  </m:sSubPr>
                  <m:e>
                    <m:r>
                      <w:rPr>
                        <w:rFonts w:ascii="Cambria Math" w:hAnsi="Cambria Math"/>
                      </w:rPr>
                      <m:t>P</m:t>
                    </m:r>
                  </m:e>
                  <m:sub>
                    <m:r>
                      <w:rPr>
                        <w:rFonts w:ascii="Cambria Math" w:hAnsi="Cambria Math"/>
                      </w:rPr>
                      <m:t>u</m:t>
                    </m:r>
                  </m:sub>
                </m:sSub>
                <m:r>
                  <w:rPr>
                    <w:rFonts w:ascii="Cambria Math" w:hAnsi="Cambria Math"/>
                  </w:rPr>
                  <m:t>=</m:t>
                </m:r>
                <m:d>
                  <m:dPr>
                    <m:ctrlPr>
                      <w:rPr>
                        <w:rFonts w:ascii="Cambria Math" w:hAnsi="Cambria Math"/>
                        <w:i/>
                      </w:rPr>
                    </m:ctrlPr>
                  </m:dPr>
                  <m:e>
                    <m:r>
                      <w:rPr>
                        <w:rFonts w:ascii="Cambria Math" w:hAnsi="Cambria Math"/>
                      </w:rPr>
                      <m:t>3γB</m:t>
                    </m:r>
                    <m:sSub>
                      <m:sSubPr>
                        <m:ctrlPr>
                          <w:rPr>
                            <w:rFonts w:ascii="Cambria Math" w:hAnsi="Cambria Math"/>
                            <w:i/>
                          </w:rPr>
                        </m:ctrlPr>
                      </m:sSubPr>
                      <m:e>
                        <m:r>
                          <w:rPr>
                            <w:rFonts w:ascii="Cambria Math" w:hAnsi="Cambria Math"/>
                          </w:rPr>
                          <m:t>k</m:t>
                        </m:r>
                      </m:e>
                      <m:sub>
                        <m:r>
                          <w:rPr>
                            <w:rFonts w:ascii="Cambria Math" w:hAnsi="Cambria Math"/>
                          </w:rPr>
                          <m:t>p</m:t>
                        </m:r>
                      </m:sub>
                    </m:sSub>
                  </m:e>
                </m:d>
                <m:r>
                  <w:rPr>
                    <w:rFonts w:ascii="Cambria Math" w:hAnsi="Cambria Math"/>
                  </w:rPr>
                  <m:t>∙z∙s</m:t>
                </m:r>
              </m:oMath>
            </m:oMathPara>
          </w:p>
        </w:tc>
        <w:tc>
          <w:tcPr>
            <w:tcW w:w="750" w:type="pct"/>
            <w:vAlign w:val="center"/>
          </w:tcPr>
          <w:p w:rsidR="00B073CB" w:rsidRDefault="00B073CB" w:rsidP="00B073CB">
            <w:pPr>
              <w:pStyle w:val="ListParagraph"/>
              <w:numPr>
                <w:ilvl w:val="1"/>
                <w:numId w:val="6"/>
              </w:numPr>
              <w:spacing w:after="0" w:line="240" w:lineRule="auto"/>
              <w:jc w:val="right"/>
            </w:pPr>
          </w:p>
        </w:tc>
      </w:tr>
    </w:tbl>
    <w:p w:rsidR="00B073CB" w:rsidRDefault="00B073CB" w:rsidP="009E570B">
      <w:pPr>
        <w:pStyle w:val="Heading3"/>
        <w:numPr>
          <w:ilvl w:val="0"/>
          <w:numId w:val="0"/>
        </w:numPr>
        <w:spacing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9"/>
        <w:gridCol w:w="6199"/>
        <w:gridCol w:w="1328"/>
      </w:tblGrid>
      <w:tr w:rsidR="008346E9" w:rsidTr="00CC0DA9">
        <w:tc>
          <w:tcPr>
            <w:tcW w:w="750" w:type="pct"/>
            <w:vAlign w:val="center"/>
          </w:tcPr>
          <w:p w:rsidR="008346E9" w:rsidRDefault="008346E9"/>
        </w:tc>
        <w:tc>
          <w:tcPr>
            <w:tcW w:w="3500" w:type="pct"/>
            <w:vAlign w:val="center"/>
          </w:tcPr>
          <w:p w:rsidR="008346E9" w:rsidRDefault="00CD6D06" w:rsidP="008346E9">
            <w:pPr>
              <w:jc w:val="center"/>
            </w:pPr>
            <m:oMathPara>
              <m:oMath>
                <m:sSub>
                  <m:sSubPr>
                    <m:ctrlPr>
                      <w:rPr>
                        <w:rFonts w:ascii="Cambria Math" w:hAnsi="Cambria Math"/>
                      </w:rPr>
                    </m:ctrlPr>
                  </m:sSubPr>
                  <m:e>
                    <m:r>
                      <w:rPr>
                        <w:rFonts w:ascii="Cambria Math" w:hAnsi="Cambria Math"/>
                      </w:rPr>
                      <m:t>Δ</m:t>
                    </m:r>
                  </m:e>
                  <m:sub>
                    <m:r>
                      <w:rPr>
                        <w:rFonts w:ascii="Cambria Math" w:hAnsi="Cambria Math"/>
                      </w:rPr>
                      <m:t>u</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u</m:t>
                        </m:r>
                      </m:sub>
                    </m:sSub>
                  </m:num>
                  <m:den>
                    <m:r>
                      <w:rPr>
                        <w:rFonts w:ascii="Cambria Math" w:hAnsi="Cambria Math"/>
                      </w:rPr>
                      <m:t>k</m:t>
                    </m:r>
                  </m:den>
                </m:f>
                <m:r>
                  <w:rPr>
                    <w:rFonts w:ascii="Cambria Math" w:hAnsi="Cambria Math"/>
                  </w:rPr>
                  <m:t>=</m:t>
                </m:r>
                <m:f>
                  <m:fPr>
                    <m:ctrlPr>
                      <w:rPr>
                        <w:rFonts w:ascii="Cambria Math" w:hAnsi="Cambria Math"/>
                      </w:rPr>
                    </m:ctrlPr>
                  </m:fPr>
                  <m:num>
                    <m:r>
                      <w:rPr>
                        <w:rFonts w:ascii="Cambria Math" w:hAnsi="Cambria Math"/>
                      </w:rPr>
                      <m:t>4.05B</m:t>
                    </m:r>
                    <m:sSub>
                      <m:sSubPr>
                        <m:ctrlPr>
                          <w:rPr>
                            <w:rFonts w:ascii="Cambria Math" w:hAnsi="Cambria Math"/>
                          </w:rPr>
                        </m:ctrlPr>
                      </m:sSubPr>
                      <m:e>
                        <m:r>
                          <w:rPr>
                            <w:rFonts w:ascii="Cambria Math" w:hAnsi="Cambria Math"/>
                          </w:rPr>
                          <m:t>k</m:t>
                        </m:r>
                      </m:e>
                      <m:sub>
                        <m:r>
                          <w:rPr>
                            <w:rFonts w:ascii="Cambria Math" w:hAnsi="Cambria Math"/>
                          </w:rPr>
                          <m:t>p</m:t>
                        </m:r>
                      </m:sub>
                    </m:sSub>
                  </m:num>
                  <m:den>
                    <m:r>
                      <w:rPr>
                        <w:rFonts w:ascii="Cambria Math" w:hAnsi="Cambria Math"/>
                      </w:rPr>
                      <m:t>J</m:t>
                    </m:r>
                  </m:den>
                </m:f>
              </m:oMath>
            </m:oMathPara>
          </w:p>
        </w:tc>
        <w:tc>
          <w:tcPr>
            <w:tcW w:w="750" w:type="pct"/>
            <w:vAlign w:val="center"/>
          </w:tcPr>
          <w:p w:rsidR="008346E9" w:rsidRDefault="008346E9" w:rsidP="008346E9">
            <w:pPr>
              <w:pStyle w:val="ListParagraph"/>
              <w:numPr>
                <w:ilvl w:val="1"/>
                <w:numId w:val="6"/>
              </w:numPr>
              <w:spacing w:after="0" w:line="240" w:lineRule="auto"/>
              <w:jc w:val="right"/>
            </w:pPr>
          </w:p>
        </w:tc>
      </w:tr>
    </w:tbl>
    <w:p w:rsidR="008346E9" w:rsidRDefault="000961DA" w:rsidP="00672B38">
      <w:pPr>
        <w:ind w:firstLine="720"/>
      </w:pPr>
      <w:r>
        <w:t>where:</w:t>
      </w:r>
    </w:p>
    <w:p w:rsidR="000961DA" w:rsidRDefault="000961DA" w:rsidP="003D6597">
      <w:pPr>
        <w:tabs>
          <w:tab w:val="left" w:pos="1800"/>
          <w:tab w:val="left" w:pos="2160"/>
        </w:tabs>
        <w:ind w:firstLine="1440"/>
      </w:pPr>
      <w:r w:rsidRPr="00672B38">
        <w:rPr>
          <w:i/>
        </w:rPr>
        <w:t>k</w:t>
      </w:r>
      <w:r>
        <w:t xml:space="preserve"> </w:t>
      </w:r>
      <w:r w:rsidR="003D6597">
        <w:tab/>
      </w:r>
      <w:r>
        <w:t xml:space="preserve">= </w:t>
      </w:r>
      <w:r w:rsidR="003D6597">
        <w:tab/>
      </w:r>
      <w:r>
        <w:t>spring stiffness (lbs/</w:t>
      </w:r>
      <w:r w:rsidR="00593807">
        <w:t>ft</w:t>
      </w:r>
      <w:r>
        <w:t>)</w:t>
      </w:r>
    </w:p>
    <w:p w:rsidR="005B0C56" w:rsidRDefault="005B0C56" w:rsidP="003D6597">
      <w:pPr>
        <w:tabs>
          <w:tab w:val="left" w:pos="1800"/>
          <w:tab w:val="left" w:pos="2160"/>
        </w:tabs>
        <w:ind w:firstLine="1440"/>
      </w:pPr>
      <w:r w:rsidRPr="005B0C56">
        <w:rPr>
          <w:i/>
        </w:rPr>
        <w:t>P</w:t>
      </w:r>
      <w:r w:rsidRPr="005B0C56">
        <w:rPr>
          <w:i/>
          <w:vertAlign w:val="subscript"/>
        </w:rPr>
        <w:t>u</w:t>
      </w:r>
      <w:r>
        <w:t xml:space="preserve"> </w:t>
      </w:r>
      <w:r w:rsidR="003D6597">
        <w:tab/>
      </w:r>
      <w:r>
        <w:t>=</w:t>
      </w:r>
      <w:r w:rsidR="003D6597">
        <w:tab/>
      </w:r>
      <w:r>
        <w:t>maximum spring force (lbs)</w:t>
      </w:r>
    </w:p>
    <w:p w:rsidR="00CB5AF7" w:rsidRDefault="00CB5AF7" w:rsidP="003D6597">
      <w:pPr>
        <w:tabs>
          <w:tab w:val="left" w:pos="1800"/>
          <w:tab w:val="left" w:pos="2160"/>
        </w:tabs>
        <w:ind w:firstLine="1440"/>
      </w:pPr>
      <w:r w:rsidRPr="00CB5AF7">
        <w:rPr>
          <w:i/>
        </w:rPr>
        <w:sym w:font="Symbol" w:char="F044"/>
      </w:r>
      <w:r w:rsidRPr="00CB5AF7">
        <w:rPr>
          <w:i/>
          <w:vertAlign w:val="subscript"/>
        </w:rPr>
        <w:t>u</w:t>
      </w:r>
      <w:r>
        <w:tab/>
        <w:t>=</w:t>
      </w:r>
      <w:r>
        <w:tab/>
        <w:t xml:space="preserve">displacement associated with </w:t>
      </w:r>
      <w:r w:rsidRPr="00CB5AF7">
        <w:rPr>
          <w:i/>
        </w:rPr>
        <w:t>P</w:t>
      </w:r>
      <w:r w:rsidRPr="00CB5AF7">
        <w:rPr>
          <w:i/>
          <w:vertAlign w:val="subscript"/>
        </w:rPr>
        <w:t>u</w:t>
      </w:r>
      <w:r>
        <w:t xml:space="preserve"> (ft)</w:t>
      </w:r>
    </w:p>
    <w:p w:rsidR="000961DA" w:rsidRDefault="000961DA" w:rsidP="003D6597">
      <w:pPr>
        <w:tabs>
          <w:tab w:val="left" w:pos="1800"/>
          <w:tab w:val="left" w:pos="2160"/>
        </w:tabs>
        <w:ind w:firstLine="1440"/>
      </w:pPr>
      <w:r w:rsidRPr="00672B38">
        <w:rPr>
          <w:i/>
        </w:rPr>
        <w:t>J</w:t>
      </w:r>
      <w:r>
        <w:t xml:space="preserve"> </w:t>
      </w:r>
      <w:r w:rsidR="005B0C56">
        <w:t xml:space="preserve">  </w:t>
      </w:r>
      <w:r w:rsidR="003D6597">
        <w:tab/>
      </w:r>
      <w:r>
        <w:t xml:space="preserve">= </w:t>
      </w:r>
      <w:r w:rsidR="003D6597">
        <w:tab/>
      </w:r>
      <w:r>
        <w:t>200 for loose sand (</w:t>
      </w:r>
      <w:r w:rsidRPr="000961DA">
        <w:rPr>
          <w:i/>
        </w:rPr>
        <w:sym w:font="Symbol" w:char="F066"/>
      </w:r>
      <w:r>
        <w:t xml:space="preserve"> = 30°)</w:t>
      </w:r>
    </w:p>
    <w:p w:rsidR="000961DA" w:rsidRDefault="000961DA" w:rsidP="003D6597">
      <w:pPr>
        <w:tabs>
          <w:tab w:val="left" w:pos="1800"/>
          <w:tab w:val="left" w:pos="2160"/>
        </w:tabs>
        <w:ind w:firstLine="1440"/>
      </w:pPr>
      <w:r>
        <w:t xml:space="preserve">      </w:t>
      </w:r>
      <w:r w:rsidR="003D6597">
        <w:t>=</w:t>
      </w:r>
      <w:r w:rsidR="003D6597">
        <w:tab/>
      </w:r>
      <w:r>
        <w:t>600 for medium sand (</w:t>
      </w:r>
      <w:r w:rsidRPr="000961DA">
        <w:rPr>
          <w:i/>
        </w:rPr>
        <w:sym w:font="Symbol" w:char="F066"/>
      </w:r>
      <w:r>
        <w:t xml:space="preserve"> = 35°)</w:t>
      </w:r>
    </w:p>
    <w:p w:rsidR="000961DA" w:rsidRDefault="000961DA" w:rsidP="003D6597">
      <w:pPr>
        <w:tabs>
          <w:tab w:val="left" w:pos="1800"/>
          <w:tab w:val="left" w:pos="2160"/>
        </w:tabs>
        <w:ind w:firstLine="1440"/>
      </w:pPr>
      <w:r>
        <w:t xml:space="preserve">      </w:t>
      </w:r>
      <w:r w:rsidR="003D6597">
        <w:t>=</w:t>
      </w:r>
      <w:r w:rsidR="003D6597">
        <w:tab/>
      </w:r>
      <w:r>
        <w:t>1500 for dense sand (</w:t>
      </w:r>
      <w:r w:rsidRPr="000961DA">
        <w:rPr>
          <w:i/>
        </w:rPr>
        <w:sym w:font="Symbol" w:char="F066"/>
      </w:r>
      <w:r>
        <w:t xml:space="preserve"> = 40°)</w:t>
      </w:r>
    </w:p>
    <w:p w:rsidR="000961DA" w:rsidRDefault="00593807" w:rsidP="003D6597">
      <w:pPr>
        <w:tabs>
          <w:tab w:val="left" w:pos="1800"/>
          <w:tab w:val="left" w:pos="2160"/>
        </w:tabs>
        <w:ind w:firstLine="1440"/>
      </w:pPr>
      <w:r w:rsidRPr="00672B38">
        <w:rPr>
          <w:i/>
        </w:rPr>
        <w:sym w:font="Symbol" w:char="F067"/>
      </w:r>
      <w:r>
        <w:t xml:space="preserve"> </w:t>
      </w:r>
      <w:r w:rsidR="003D6597">
        <w:tab/>
      </w:r>
      <w:r>
        <w:t xml:space="preserve">= </w:t>
      </w:r>
      <w:r w:rsidR="003D6597">
        <w:tab/>
      </w:r>
      <w:r>
        <w:t>unit weight of soil (lbs/ft</w:t>
      </w:r>
      <w:r w:rsidRPr="00593807">
        <w:rPr>
          <w:vertAlign w:val="superscript"/>
        </w:rPr>
        <w:t>3</w:t>
      </w:r>
      <w:r>
        <w:t>)</w:t>
      </w:r>
    </w:p>
    <w:p w:rsidR="00593807" w:rsidRDefault="00593807" w:rsidP="003D6597">
      <w:pPr>
        <w:tabs>
          <w:tab w:val="left" w:pos="1800"/>
          <w:tab w:val="left" w:pos="2160"/>
        </w:tabs>
        <w:ind w:firstLine="1440"/>
      </w:pPr>
      <w:r w:rsidRPr="00672B38">
        <w:rPr>
          <w:i/>
        </w:rPr>
        <w:t>z</w:t>
      </w:r>
      <w:r>
        <w:t xml:space="preserve"> </w:t>
      </w:r>
      <w:r w:rsidR="003D6597">
        <w:tab/>
      </w:r>
      <w:r>
        <w:t>=</w:t>
      </w:r>
      <w:r w:rsidR="003D6597">
        <w:tab/>
      </w:r>
      <w:r>
        <w:t>depth below ground surface (ft)</w:t>
      </w:r>
    </w:p>
    <w:p w:rsidR="00593807" w:rsidRDefault="00593807" w:rsidP="003D6597">
      <w:pPr>
        <w:tabs>
          <w:tab w:val="left" w:pos="1800"/>
          <w:tab w:val="left" w:pos="2160"/>
        </w:tabs>
        <w:ind w:firstLine="1440"/>
      </w:pPr>
      <w:r w:rsidRPr="00672B38">
        <w:rPr>
          <w:i/>
        </w:rPr>
        <w:t>s</w:t>
      </w:r>
      <w:r>
        <w:t xml:space="preserve"> </w:t>
      </w:r>
      <w:r w:rsidR="003D6597">
        <w:tab/>
      </w:r>
      <w:r>
        <w:t xml:space="preserve">= </w:t>
      </w:r>
      <w:r w:rsidR="003D6597">
        <w:tab/>
      </w:r>
      <w:r>
        <w:t>spring spacing (ft)</w:t>
      </w:r>
    </w:p>
    <w:p w:rsidR="00593807" w:rsidRDefault="00593807" w:rsidP="003D6597">
      <w:pPr>
        <w:tabs>
          <w:tab w:val="left" w:pos="1800"/>
          <w:tab w:val="left" w:pos="2160"/>
        </w:tabs>
        <w:ind w:firstLine="1440"/>
      </w:pPr>
      <w:r w:rsidRPr="00672B38">
        <w:rPr>
          <w:i/>
        </w:rPr>
        <w:t>B</w:t>
      </w:r>
      <w:r>
        <w:t xml:space="preserve"> </w:t>
      </w:r>
      <w:r w:rsidR="003D6597">
        <w:tab/>
      </w:r>
      <w:r>
        <w:t xml:space="preserve">= </w:t>
      </w:r>
      <w:r w:rsidR="003D6597">
        <w:tab/>
      </w:r>
      <w:r>
        <w:t>pile width (ft)</w:t>
      </w:r>
    </w:p>
    <w:p w:rsidR="00593807" w:rsidRDefault="00593807" w:rsidP="003D6597">
      <w:pPr>
        <w:tabs>
          <w:tab w:val="left" w:pos="1800"/>
          <w:tab w:val="left" w:pos="2160"/>
        </w:tabs>
        <w:ind w:firstLine="1440"/>
      </w:pPr>
      <w:r w:rsidRPr="00672B38">
        <w:rPr>
          <w:i/>
        </w:rPr>
        <w:t>k</w:t>
      </w:r>
      <w:r w:rsidRPr="00672B38">
        <w:rPr>
          <w:i/>
          <w:vertAlign w:val="subscript"/>
        </w:rPr>
        <w:t>p</w:t>
      </w:r>
      <w:r>
        <w:t xml:space="preserve"> </w:t>
      </w:r>
      <w:r w:rsidR="003D6597">
        <w:tab/>
      </w:r>
      <w:r>
        <w:t xml:space="preserve">= </w:t>
      </w:r>
      <w:r w:rsidR="003D6597">
        <w:tab/>
      </w:r>
      <w:r>
        <w:t>coefficient of passive earth pressure</w:t>
      </w:r>
    </w:p>
    <w:p w:rsidR="00593807" w:rsidRDefault="00593807" w:rsidP="003D6597">
      <w:pPr>
        <w:tabs>
          <w:tab w:val="left" w:pos="1800"/>
          <w:tab w:val="left" w:pos="2160"/>
        </w:tabs>
        <w:ind w:firstLine="1440"/>
      </w:pPr>
      <w:r>
        <w:t xml:space="preserve">    </w:t>
      </w:r>
      <w:r w:rsidR="003D6597">
        <w:tab/>
      </w:r>
      <w:r>
        <w:t>=</w:t>
      </w:r>
      <w:r w:rsidR="003D6597">
        <w:tab/>
      </w:r>
      <m:oMath>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tan</m:t>
                </m:r>
              </m:e>
              <m:sup>
                <m:r>
                  <m:rPr>
                    <m:sty m:val="p"/>
                  </m:rPr>
                  <w:rPr>
                    <w:rFonts w:ascii="Cambria Math" w:hAnsi="Cambria Math"/>
                  </w:rPr>
                  <m:t>2</m:t>
                </m:r>
              </m:sup>
            </m:sSup>
          </m:fName>
          <m:e>
            <m:d>
              <m:dPr>
                <m:ctrlPr>
                  <w:rPr>
                    <w:rFonts w:ascii="Cambria Math" w:hAnsi="Cambria Math"/>
                    <w:i/>
                  </w:rPr>
                </m:ctrlPr>
              </m:dPr>
              <m:e>
                <m:r>
                  <w:rPr>
                    <w:rFonts w:ascii="Cambria Math" w:hAnsi="Cambria Math"/>
                  </w:rPr>
                  <m:t>45°+</m:t>
                </m:r>
                <m:f>
                  <m:fPr>
                    <m:ctrlPr>
                      <w:rPr>
                        <w:rFonts w:ascii="Cambria Math" w:hAnsi="Cambria Math"/>
                        <w:i/>
                      </w:rPr>
                    </m:ctrlPr>
                  </m:fPr>
                  <m:num>
                    <m:r>
                      <w:rPr>
                        <w:rFonts w:ascii="Cambria Math" w:hAnsi="Cambria Math"/>
                      </w:rPr>
                      <m:t>ϕ</m:t>
                    </m:r>
                  </m:num>
                  <m:den>
                    <m:r>
                      <w:rPr>
                        <w:rFonts w:ascii="Cambria Math" w:hAnsi="Cambria Math"/>
                      </w:rPr>
                      <m:t>2</m:t>
                    </m:r>
                  </m:den>
                </m:f>
              </m:e>
            </m:d>
          </m:e>
        </m:func>
      </m:oMath>
    </w:p>
    <w:p w:rsidR="005B0C56" w:rsidRDefault="005B0C56" w:rsidP="005B0C56"/>
    <w:p w:rsidR="00CB5AF7" w:rsidRDefault="00CB5AF7" w:rsidP="005B0C56">
      <w:r>
        <w:t xml:space="preserve">It may be seen from Eq </w:t>
      </w:r>
      <w:r w:rsidR="00230692">
        <w:t>(</w:t>
      </w:r>
      <w:r>
        <w:t>5.1</w:t>
      </w:r>
      <w:r w:rsidR="00230692">
        <w:t>) and</w:t>
      </w:r>
      <w:r>
        <w:t xml:space="preserve"> Eq </w:t>
      </w:r>
      <w:r w:rsidR="00230692">
        <w:t>(5.2)</w:t>
      </w:r>
      <w:r>
        <w:t xml:space="preserve"> that the spring stiffness and maximum spring force increase linearly with depth.  </w:t>
      </w:r>
      <w:r w:rsidR="006B76AF">
        <w:t xml:space="preserve">However, </w:t>
      </w:r>
      <w:r w:rsidR="006B76AF" w:rsidRPr="006B76AF">
        <w:rPr>
          <w:i/>
        </w:rPr>
        <w:sym w:font="Symbol" w:char="F044"/>
      </w:r>
      <w:r w:rsidR="006B76AF" w:rsidRPr="006B76AF">
        <w:rPr>
          <w:i/>
          <w:vertAlign w:val="subscript"/>
        </w:rPr>
        <w:t>u</w:t>
      </w:r>
      <w:r w:rsidR="006B76AF">
        <w:t xml:space="preserve"> depends angle of internal friction, </w:t>
      </w:r>
      <w:r w:rsidR="006B76AF" w:rsidRPr="006B76AF">
        <w:rPr>
          <w:i/>
        </w:rPr>
        <w:sym w:font="Symbol" w:char="F066"/>
      </w:r>
      <w:r w:rsidR="006B76AF">
        <w:t xml:space="preserve">, and pile width, </w:t>
      </w:r>
      <w:r w:rsidR="006B76AF" w:rsidRPr="006B76AF">
        <w:rPr>
          <w:i/>
        </w:rPr>
        <w:t>B</w:t>
      </w:r>
      <w:r w:rsidR="006B76AF">
        <w:t xml:space="preserve">, and does not vary with depth.  The pile-soil spring parameters computed according to these relationships are given in </w:t>
      </w:r>
      <w:r w:rsidR="00CD6D06">
        <w:fldChar w:fldCharType="begin"/>
      </w:r>
      <w:r w:rsidR="00947DE6">
        <w:instrText xml:space="preserve"> REF _Ref191627960 \h </w:instrText>
      </w:r>
      <w:r w:rsidR="00CD6D06">
        <w:fldChar w:fldCharType="separate"/>
      </w:r>
      <w:r w:rsidR="00EF3F11">
        <w:t xml:space="preserve">Table </w:t>
      </w:r>
      <w:r w:rsidR="00EF3F11">
        <w:rPr>
          <w:noProof/>
        </w:rPr>
        <w:t>5</w:t>
      </w:r>
      <w:r w:rsidR="00EF3F11">
        <w:t>.</w:t>
      </w:r>
      <w:r w:rsidR="00EF3F11">
        <w:rPr>
          <w:noProof/>
        </w:rPr>
        <w:t>1</w:t>
      </w:r>
      <w:r w:rsidR="00CD6D06">
        <w:fldChar w:fldCharType="end"/>
      </w:r>
      <w:r w:rsidR="006B76AF">
        <w:t>.</w:t>
      </w:r>
      <w:r w:rsidR="00AB28AA">
        <w:t xml:space="preserve">  The values presented in this table </w:t>
      </w:r>
      <w:r w:rsidR="00AB28AA">
        <w:lastRenderedPageBreak/>
        <w:t>are for a single HP12X53</w:t>
      </w:r>
      <w:r w:rsidR="003726ED">
        <w:t xml:space="preserve"> pile</w:t>
      </w:r>
      <w:r w:rsidR="00AB28AA">
        <w:t xml:space="preserve">.  </w:t>
      </w:r>
      <w:r w:rsidR="00230692">
        <w:t>Because ten piles are considered in the analysis, t</w:t>
      </w:r>
      <w:r w:rsidR="00AB28AA">
        <w:t>he table values are multiplied by 10 for use in the two-dimensional models.</w:t>
      </w:r>
    </w:p>
    <w:p w:rsidR="00B073CB" w:rsidRDefault="00B073CB" w:rsidP="003E2FF5">
      <w:pPr>
        <w:pStyle w:val="Heading3"/>
        <w:numPr>
          <w:ilvl w:val="0"/>
          <w:numId w:val="0"/>
        </w:numPr>
        <w:ind w:left="720" w:hanging="720"/>
        <w:jc w:val="center"/>
      </w:pPr>
    </w:p>
    <w:p w:rsidR="003E2FF5" w:rsidRDefault="00502080" w:rsidP="003E2FF5">
      <w:pPr>
        <w:pStyle w:val="Heading3"/>
        <w:numPr>
          <w:ilvl w:val="0"/>
          <w:numId w:val="0"/>
        </w:numPr>
        <w:ind w:left="720" w:hanging="720"/>
        <w:jc w:val="center"/>
      </w:pPr>
      <w:r w:rsidRPr="00502080">
        <w:rPr>
          <w:noProof/>
        </w:rPr>
        <w:drawing>
          <wp:inline distT="0" distB="0" distL="0" distR="0">
            <wp:extent cx="2943225" cy="2933700"/>
            <wp:effectExtent l="0" t="0" r="952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2943225" cy="2933700"/>
                    </a:xfrm>
                    <a:prstGeom prst="rect">
                      <a:avLst/>
                    </a:prstGeom>
                    <a:noFill/>
                    <a:ln w="9525">
                      <a:noFill/>
                      <a:miter lim="800000"/>
                      <a:headEnd/>
                      <a:tailEnd/>
                    </a:ln>
                  </pic:spPr>
                </pic:pic>
              </a:graphicData>
            </a:graphic>
          </wp:inline>
        </w:drawing>
      </w:r>
    </w:p>
    <w:p w:rsidR="003E2FF5" w:rsidRDefault="003E2FF5" w:rsidP="003E2FF5"/>
    <w:p w:rsidR="00192D28" w:rsidRDefault="003E2FF5" w:rsidP="00192D28">
      <w:pPr>
        <w:pStyle w:val="Caption"/>
      </w:pPr>
      <w:bookmarkStart w:id="14" w:name="_Ref191615217"/>
      <w:bookmarkStart w:id="15" w:name="_Toc193615521"/>
      <w:r>
        <w:t xml:space="preserve">Figure </w:t>
      </w:r>
      <w:fldSimple w:instr=" STYLEREF 1 \s ">
        <w:r w:rsidR="00EF3F11">
          <w:rPr>
            <w:noProof/>
          </w:rPr>
          <w:t>5</w:t>
        </w:r>
      </w:fldSimple>
      <w:r w:rsidR="00630774">
        <w:t>.</w:t>
      </w:r>
      <w:fldSimple w:instr=" SEQ Figure \* ARABIC \s 1 ">
        <w:r w:rsidR="00EF3F11">
          <w:rPr>
            <w:noProof/>
          </w:rPr>
          <w:t>4</w:t>
        </w:r>
      </w:fldSimple>
      <w:bookmarkEnd w:id="14"/>
      <w:r>
        <w:t>: Typical Pile-Soil Spring</w:t>
      </w:r>
      <w:bookmarkEnd w:id="15"/>
      <w:r>
        <w:t xml:space="preserve"> </w:t>
      </w:r>
      <w:r w:rsidR="00192D28">
        <w:t xml:space="preserve"> </w:t>
      </w:r>
      <w:r w:rsidR="00C01ABB">
        <w:br w:type="page"/>
      </w:r>
    </w:p>
    <w:p w:rsidR="00CF7D45" w:rsidRDefault="00CF7D45" w:rsidP="00CF7D45">
      <w:pPr>
        <w:pStyle w:val="Caption"/>
      </w:pPr>
      <w:bookmarkStart w:id="16" w:name="_Ref191627960"/>
      <w:bookmarkStart w:id="17" w:name="_Toc193615468"/>
      <w:r>
        <w:lastRenderedPageBreak/>
        <w:t xml:space="preserve">Table </w:t>
      </w:r>
      <w:fldSimple w:instr=" STYLEREF 1 \s ">
        <w:r w:rsidR="00EF3F11">
          <w:rPr>
            <w:noProof/>
          </w:rPr>
          <w:t>5</w:t>
        </w:r>
      </w:fldSimple>
      <w:r w:rsidR="00192D28">
        <w:t>.</w:t>
      </w:r>
      <w:fldSimple w:instr=" SEQ Table \* ARABIC \s 1 ">
        <w:r w:rsidR="00EF3F11">
          <w:rPr>
            <w:noProof/>
          </w:rPr>
          <w:t>1</w:t>
        </w:r>
      </w:fldSimple>
      <w:bookmarkEnd w:id="16"/>
      <w:r>
        <w:t>: Pile-Soil Spring Parameters</w:t>
      </w:r>
      <w:bookmarkEnd w:id="17"/>
    </w:p>
    <w:p w:rsidR="00CF7D45" w:rsidRPr="003E2FF5" w:rsidRDefault="007F709A" w:rsidP="007F709A">
      <w:pPr>
        <w:jc w:val="center"/>
      </w:pPr>
      <w:r w:rsidRPr="007F709A">
        <w:rPr>
          <w:noProof/>
        </w:rPr>
        <w:drawing>
          <wp:inline distT="0" distB="0" distL="0" distR="0">
            <wp:extent cx="4410075" cy="4962525"/>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410075" cy="4962525"/>
                    </a:xfrm>
                    <a:prstGeom prst="rect">
                      <a:avLst/>
                    </a:prstGeom>
                    <a:noFill/>
                    <a:ln w="9525">
                      <a:noFill/>
                      <a:miter lim="800000"/>
                      <a:headEnd/>
                      <a:tailEnd/>
                    </a:ln>
                  </pic:spPr>
                </pic:pic>
              </a:graphicData>
            </a:graphic>
          </wp:inline>
        </w:drawing>
      </w:r>
    </w:p>
    <w:p w:rsidR="00C77816" w:rsidRDefault="00E72A62" w:rsidP="00C77816">
      <w:pPr>
        <w:pStyle w:val="Heading3"/>
      </w:pPr>
      <w:bookmarkStart w:id="18" w:name="_Toc193615436"/>
      <w:r>
        <w:t>Abutment</w:t>
      </w:r>
      <w:r w:rsidR="003726ED">
        <w:t>-</w:t>
      </w:r>
      <w:r w:rsidR="00C77816">
        <w:t>Soil Spring Properties</w:t>
      </w:r>
      <w:bookmarkEnd w:id="18"/>
    </w:p>
    <w:p w:rsidR="00C77816" w:rsidRDefault="00502080" w:rsidP="00502080">
      <w:pPr>
        <w:ind w:firstLine="720"/>
      </w:pPr>
      <w:r>
        <w:t>The abutment-soil springs were modeled using non-linear link elem</w:t>
      </w:r>
      <w:r w:rsidR="00230692">
        <w:t>ents.  These elements have an elastic-plastic</w:t>
      </w:r>
      <w:r w:rsidR="002229E4">
        <w:t>,</w:t>
      </w:r>
      <w:r w:rsidR="00230692">
        <w:t xml:space="preserve"> force-</w:t>
      </w:r>
      <w:r>
        <w:t xml:space="preserve">displacement relationship in compression and zero </w:t>
      </w:r>
      <w:r w:rsidR="003726ED">
        <w:t>force</w:t>
      </w:r>
      <w:r>
        <w:t xml:space="preserve"> in tension.  A typical force-displacement relationship is shown in </w:t>
      </w:r>
      <w:r w:rsidR="00CD6D06">
        <w:fldChar w:fldCharType="begin"/>
      </w:r>
      <w:r>
        <w:instrText xml:space="preserve"> REF _Ref191630319 \h </w:instrText>
      </w:r>
      <w:r w:rsidR="00CD6D06">
        <w:fldChar w:fldCharType="separate"/>
      </w:r>
      <w:r w:rsidR="00EF3F11">
        <w:t xml:space="preserve">Figure </w:t>
      </w:r>
      <w:r w:rsidR="00EF3F11">
        <w:rPr>
          <w:noProof/>
        </w:rPr>
        <w:t>5</w:t>
      </w:r>
      <w:r w:rsidR="00EF3F11">
        <w:t>.</w:t>
      </w:r>
      <w:r w:rsidR="00EF3F11">
        <w:rPr>
          <w:noProof/>
        </w:rPr>
        <w:t>5</w:t>
      </w:r>
      <w:r w:rsidR="00CD6D06">
        <w:fldChar w:fldCharType="end"/>
      </w:r>
      <w:r>
        <w:t xml:space="preserve">.  This force-displacement relationship is used because the backfill material provides resistance as the abutment moves toward the soil but not </w:t>
      </w:r>
      <w:r w:rsidR="003726ED">
        <w:t>as</w:t>
      </w:r>
      <w:r>
        <w:t xml:space="preserve"> the abutment </w:t>
      </w:r>
      <w:r w:rsidR="003726ED">
        <w:t xml:space="preserve">moves </w:t>
      </w:r>
      <w:r>
        <w:t xml:space="preserve">away from the backfill material.  </w:t>
      </w:r>
      <w:r w:rsidR="0023229F">
        <w:t xml:space="preserve">The </w:t>
      </w:r>
      <w:r w:rsidR="0020548C">
        <w:t>ul</w:t>
      </w:r>
      <w:r w:rsidR="003726ED">
        <w:t>timate capacity of the abutment-</w:t>
      </w:r>
      <w:r w:rsidR="0020548C">
        <w:t xml:space="preserve">soil springs was based on the </w:t>
      </w:r>
      <w:r w:rsidR="00F04805">
        <w:t>Rankine passive earth pressure and the geometry of the model.  Accordingly, the ultimate capacity for each spring was computed as:</w:t>
      </w:r>
    </w:p>
    <w:p w:rsidR="004436FB" w:rsidRDefault="004436FB" w:rsidP="004436FB">
      <w:pPr>
        <w:jc w:val="center"/>
      </w:pPr>
      <w:r w:rsidRPr="0023229F">
        <w:rPr>
          <w:noProof/>
        </w:rPr>
        <w:lastRenderedPageBreak/>
        <w:drawing>
          <wp:inline distT="0" distB="0" distL="0" distR="0">
            <wp:extent cx="2943225" cy="2933700"/>
            <wp:effectExtent l="0" t="0" r="9525"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2943225" cy="2933700"/>
                    </a:xfrm>
                    <a:prstGeom prst="rect">
                      <a:avLst/>
                    </a:prstGeom>
                    <a:noFill/>
                    <a:ln w="9525">
                      <a:noFill/>
                      <a:miter lim="800000"/>
                      <a:headEnd/>
                      <a:tailEnd/>
                    </a:ln>
                  </pic:spPr>
                </pic:pic>
              </a:graphicData>
            </a:graphic>
          </wp:inline>
        </w:drawing>
      </w:r>
    </w:p>
    <w:p w:rsidR="004436FB" w:rsidRDefault="004436FB" w:rsidP="004436FB">
      <w:pPr>
        <w:jc w:val="center"/>
      </w:pPr>
    </w:p>
    <w:p w:rsidR="004436FB" w:rsidRDefault="004436FB" w:rsidP="004436FB">
      <w:pPr>
        <w:pStyle w:val="Caption"/>
      </w:pPr>
      <w:bookmarkStart w:id="19" w:name="_Ref191630319"/>
      <w:bookmarkStart w:id="20" w:name="_Toc193615522"/>
      <w:r>
        <w:t xml:space="preserve">Figure </w:t>
      </w:r>
      <w:fldSimple w:instr=" STYLEREF 1 \s ">
        <w:r w:rsidR="00EF3F11">
          <w:rPr>
            <w:noProof/>
          </w:rPr>
          <w:t>5</w:t>
        </w:r>
      </w:fldSimple>
      <w:r w:rsidR="00630774">
        <w:t>.</w:t>
      </w:r>
      <w:fldSimple w:instr=" SEQ Figure \* ARABIC \s 1 ">
        <w:r w:rsidR="00EF3F11">
          <w:rPr>
            <w:noProof/>
          </w:rPr>
          <w:t>5</w:t>
        </w:r>
      </w:fldSimple>
      <w:bookmarkEnd w:id="19"/>
      <w:r>
        <w:t>: Typical Abutment-Soil Spring</w:t>
      </w:r>
      <w:bookmarkEnd w:id="20"/>
    </w:p>
    <w:p w:rsidR="00434E6E" w:rsidRDefault="00434E6E" w:rsidP="00434E6E"/>
    <w:p w:rsidR="00434E6E" w:rsidRPr="00434E6E" w:rsidRDefault="00434E6E" w:rsidP="00434E6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9"/>
        <w:gridCol w:w="6199"/>
        <w:gridCol w:w="1328"/>
      </w:tblGrid>
      <w:tr w:rsidR="00F04805" w:rsidTr="00CC0DA9">
        <w:tc>
          <w:tcPr>
            <w:tcW w:w="750" w:type="pct"/>
            <w:vAlign w:val="center"/>
          </w:tcPr>
          <w:p w:rsidR="00F04805" w:rsidRDefault="004436FB">
            <w:r>
              <w:br w:type="page"/>
            </w:r>
          </w:p>
        </w:tc>
        <w:tc>
          <w:tcPr>
            <w:tcW w:w="3500" w:type="pct"/>
            <w:vAlign w:val="center"/>
          </w:tcPr>
          <w:p w:rsidR="00F04805" w:rsidRPr="00F04805" w:rsidRDefault="00CD6D06" w:rsidP="00CC0DA9">
            <w:pPr>
              <w:jc w:val="center"/>
              <w:rPr>
                <w:rFonts w:eastAsiaTheme="minorEastAsia"/>
              </w:rPr>
            </w:pPr>
            <m:oMathPara>
              <m:oMath>
                <m:sSub>
                  <m:sSubPr>
                    <m:ctrlPr>
                      <w:rPr>
                        <w:rFonts w:ascii="Cambria Math" w:hAnsi="Cambria Math"/>
                        <w:i/>
                      </w:rPr>
                    </m:ctrlPr>
                  </m:sSubPr>
                  <m:e>
                    <m:r>
                      <w:rPr>
                        <w:rFonts w:ascii="Cambria Math" w:hAnsi="Cambria Math"/>
                      </w:rPr>
                      <m:t>P</m:t>
                    </m:r>
                  </m:e>
                  <m:sub>
                    <m:r>
                      <w:rPr>
                        <w:rFonts w:ascii="Cambria Math" w:hAnsi="Cambria Math"/>
                      </w:rPr>
                      <m:t>u</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γz</m:t>
                    </m:r>
                  </m:e>
                </m:d>
                <m:r>
                  <w:rPr>
                    <w:rFonts w:ascii="Cambria Math" w:hAnsi="Cambria Math"/>
                  </w:rPr>
                  <m:t>∙w∙s</m:t>
                </m:r>
              </m:oMath>
            </m:oMathPara>
          </w:p>
          <w:p w:rsidR="00F04805" w:rsidRPr="00F04805" w:rsidRDefault="00CD6D06" w:rsidP="003726ED">
            <w:pPr>
              <w:jc w:val="center"/>
              <w:rPr>
                <w:rFonts w:eastAsiaTheme="minorEastAsia"/>
              </w:rPr>
            </w:pPr>
            <m:oMathPara>
              <m:oMath>
                <m:sSub>
                  <m:sSubPr>
                    <m:ctrlPr>
                      <w:rPr>
                        <w:rFonts w:ascii="Cambria Math" w:hAnsi="Cambria Math"/>
                        <w:i/>
                      </w:rPr>
                    </m:ctrlPr>
                  </m:sSubPr>
                  <m:e>
                    <m:r>
                      <w:rPr>
                        <w:rFonts w:ascii="Cambria Math" w:hAnsi="Cambria Math"/>
                      </w:rPr>
                      <m:t>P</m:t>
                    </m:r>
                  </m:e>
                  <m:sub>
                    <m:r>
                      <w:rPr>
                        <w:rFonts w:ascii="Cambria Math" w:hAnsi="Cambria Math"/>
                      </w:rPr>
                      <m:t>u</m:t>
                    </m:r>
                  </m:sub>
                </m:sSub>
                <m:r>
                  <w:rPr>
                    <w:rFonts w:ascii="Cambria Math" w:hAnsi="Cambria Math"/>
                  </w:rPr>
                  <m:t>=</m:t>
                </m:r>
                <m:d>
                  <m:dPr>
                    <m:ctrlPr>
                      <w:rPr>
                        <w:rFonts w:ascii="Cambria Math" w:hAnsi="Cambria Math"/>
                        <w:i/>
                      </w:rPr>
                    </m:ctrlPr>
                  </m:dPr>
                  <m:e>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tan</m:t>
                            </m:r>
                          </m:e>
                          <m:sup>
                            <m:r>
                              <m:rPr>
                                <m:sty m:val="p"/>
                              </m:rPr>
                              <w:rPr>
                                <w:rFonts w:ascii="Cambria Math" w:hAnsi="Cambria Math"/>
                              </w:rPr>
                              <m:t>2</m:t>
                            </m:r>
                          </m:sup>
                        </m:sSup>
                      </m:fName>
                      <m:e>
                        <m:d>
                          <m:dPr>
                            <m:ctrlPr>
                              <w:rPr>
                                <w:rFonts w:ascii="Cambria Math" w:hAnsi="Cambria Math"/>
                                <w:i/>
                              </w:rPr>
                            </m:ctrlPr>
                          </m:dPr>
                          <m:e>
                            <m:r>
                              <w:rPr>
                                <w:rFonts w:ascii="Cambria Math" w:hAnsi="Cambria Math"/>
                              </w:rPr>
                              <m:t>45°+</m:t>
                            </m:r>
                            <m:f>
                              <m:fPr>
                                <m:ctrlPr>
                                  <w:rPr>
                                    <w:rFonts w:ascii="Cambria Math" w:hAnsi="Cambria Math"/>
                                    <w:i/>
                                  </w:rPr>
                                </m:ctrlPr>
                              </m:fPr>
                              <m:num>
                                <m:r>
                                  <w:rPr>
                                    <w:rFonts w:ascii="Cambria Math" w:hAnsi="Cambria Math"/>
                                  </w:rPr>
                                  <m:t>ϕ</m:t>
                                </m:r>
                              </m:num>
                              <m:den>
                                <m:r>
                                  <w:rPr>
                                    <w:rFonts w:ascii="Cambria Math" w:hAnsi="Cambria Math"/>
                                  </w:rPr>
                                  <m:t>2</m:t>
                                </m:r>
                              </m:den>
                            </m:f>
                          </m:e>
                        </m:d>
                      </m:e>
                    </m:func>
                    <m:r>
                      <w:rPr>
                        <w:rFonts w:ascii="Cambria Math" w:hAnsi="Cambria Math"/>
                      </w:rPr>
                      <m:t>γz</m:t>
                    </m:r>
                  </m:e>
                </m:d>
                <m:r>
                  <w:rPr>
                    <w:rFonts w:ascii="Cambria Math" w:hAnsi="Cambria Math"/>
                  </w:rPr>
                  <m:t>∙w∙s</m:t>
                </m:r>
              </m:oMath>
            </m:oMathPara>
          </w:p>
        </w:tc>
        <w:tc>
          <w:tcPr>
            <w:tcW w:w="750" w:type="pct"/>
            <w:vAlign w:val="center"/>
          </w:tcPr>
          <w:p w:rsidR="00F04805" w:rsidRDefault="00F04805" w:rsidP="00F04805">
            <w:pPr>
              <w:pStyle w:val="ListParagraph"/>
              <w:numPr>
                <w:ilvl w:val="1"/>
                <w:numId w:val="6"/>
              </w:numPr>
              <w:spacing w:after="0" w:line="240" w:lineRule="auto"/>
              <w:jc w:val="right"/>
            </w:pPr>
          </w:p>
        </w:tc>
      </w:tr>
    </w:tbl>
    <w:p w:rsidR="00F04805" w:rsidRDefault="00F04805" w:rsidP="00502080">
      <w:pPr>
        <w:ind w:firstLine="720"/>
      </w:pPr>
    </w:p>
    <w:p w:rsidR="00F04805" w:rsidRDefault="00F04805" w:rsidP="00F04805">
      <w:pPr>
        <w:ind w:firstLine="720"/>
      </w:pPr>
      <w:r>
        <w:t>where:</w:t>
      </w:r>
    </w:p>
    <w:p w:rsidR="00F04805" w:rsidRDefault="00F04805" w:rsidP="00F04805">
      <w:pPr>
        <w:tabs>
          <w:tab w:val="left" w:pos="1800"/>
          <w:tab w:val="left" w:pos="2160"/>
        </w:tabs>
        <w:ind w:firstLine="1440"/>
      </w:pPr>
      <w:r>
        <w:rPr>
          <w:i/>
        </w:rPr>
        <w:t>w</w:t>
      </w:r>
      <w:r>
        <w:t xml:space="preserve"> </w:t>
      </w:r>
      <w:r>
        <w:tab/>
        <w:t xml:space="preserve">= </w:t>
      </w:r>
      <w:r>
        <w:tab/>
        <w:t>abutment width (ft)</w:t>
      </w:r>
    </w:p>
    <w:p w:rsidR="004436FB" w:rsidRDefault="004436FB" w:rsidP="00F04805">
      <w:pPr>
        <w:tabs>
          <w:tab w:val="left" w:pos="1800"/>
          <w:tab w:val="left" w:pos="2160"/>
        </w:tabs>
        <w:ind w:firstLine="1440"/>
      </w:pPr>
      <w:r>
        <w:t>s</w:t>
      </w:r>
      <w:r>
        <w:tab/>
        <w:t xml:space="preserve"> = </w:t>
      </w:r>
      <w:r>
        <w:tab/>
        <w:t>spring spacing (ft)</w:t>
      </w:r>
    </w:p>
    <w:p w:rsidR="003E2FF5" w:rsidRDefault="00590FEE" w:rsidP="004436FB">
      <w:pPr>
        <w:ind w:firstLine="720"/>
      </w:pPr>
      <w:r>
        <w:t xml:space="preserve">Two approaches were taken for the calculation of </w:t>
      </w:r>
      <w:r w:rsidRPr="00590FEE">
        <w:rPr>
          <w:i/>
        </w:rPr>
        <w:t>k</w:t>
      </w:r>
      <w:r>
        <w:t xml:space="preserve"> and </w:t>
      </w:r>
      <w:r w:rsidRPr="00590FEE">
        <w:rPr>
          <w:rFonts w:ascii="Symbol" w:hAnsi="Symbol"/>
          <w:i/>
        </w:rPr>
        <w:t></w:t>
      </w:r>
      <w:r w:rsidRPr="00590FEE">
        <w:rPr>
          <w:i/>
          <w:vertAlign w:val="subscript"/>
        </w:rPr>
        <w:t>u</w:t>
      </w:r>
      <w:r w:rsidR="003726ED">
        <w:t xml:space="preserve">: </w:t>
      </w:r>
      <w:r>
        <w:t xml:space="preserve">estimating </w:t>
      </w:r>
      <w:r w:rsidRPr="00590FEE">
        <w:rPr>
          <w:rFonts w:ascii="Symbol" w:hAnsi="Symbol"/>
          <w:i/>
        </w:rPr>
        <w:t></w:t>
      </w:r>
      <w:r w:rsidRPr="00590FEE">
        <w:rPr>
          <w:i/>
          <w:vertAlign w:val="subscript"/>
        </w:rPr>
        <w:t>u</w:t>
      </w:r>
      <w:r>
        <w:t xml:space="preserve"> based on common design assumptions and then computing </w:t>
      </w:r>
      <w:r w:rsidRPr="00590FEE">
        <w:rPr>
          <w:i/>
        </w:rPr>
        <w:t>k</w:t>
      </w:r>
      <w:r w:rsidR="003726ED">
        <w:rPr>
          <w:i/>
        </w:rPr>
        <w:t xml:space="preserve"> </w:t>
      </w:r>
      <w:r w:rsidR="003726ED">
        <w:t>(displacement approach)</w:t>
      </w:r>
      <w:r>
        <w:t>, and</w:t>
      </w:r>
      <w:r w:rsidR="003016A8">
        <w:t xml:space="preserve"> </w:t>
      </w:r>
      <w:r>
        <w:t xml:space="preserve">estimating </w:t>
      </w:r>
      <w:r w:rsidRPr="00590FEE">
        <w:rPr>
          <w:i/>
        </w:rPr>
        <w:t>k</w:t>
      </w:r>
      <w:r>
        <w:t xml:space="preserve"> based on the field investigation and computing </w:t>
      </w:r>
      <w:r w:rsidRPr="00590FEE">
        <w:rPr>
          <w:rFonts w:ascii="Symbol" w:hAnsi="Symbol"/>
          <w:i/>
        </w:rPr>
        <w:t></w:t>
      </w:r>
      <w:r w:rsidRPr="00590FEE">
        <w:rPr>
          <w:i/>
          <w:vertAlign w:val="subscript"/>
        </w:rPr>
        <w:t>u</w:t>
      </w:r>
      <w:r w:rsidR="003726ED">
        <w:rPr>
          <w:i/>
          <w:vertAlign w:val="subscript"/>
        </w:rPr>
        <w:t xml:space="preserve"> </w:t>
      </w:r>
      <w:r w:rsidR="003726ED">
        <w:t>(stiffness approach)</w:t>
      </w:r>
      <w:r>
        <w:t xml:space="preserve">.  </w:t>
      </w:r>
      <w:r w:rsidR="00520BB0">
        <w:t xml:space="preserve">The details of each approach are discussed in the following sections and the values used in the two-dimensional model are shown in </w:t>
      </w:r>
      <w:r w:rsidR="00CD6D06">
        <w:fldChar w:fldCharType="begin"/>
      </w:r>
      <w:r w:rsidR="00012E6A">
        <w:instrText xml:space="preserve"> REF _Ref193018014 \h </w:instrText>
      </w:r>
      <w:r w:rsidR="00CD6D06">
        <w:fldChar w:fldCharType="separate"/>
      </w:r>
      <w:r w:rsidR="00EF3F11">
        <w:t xml:space="preserve">Table </w:t>
      </w:r>
      <w:r w:rsidR="00EF3F11">
        <w:rPr>
          <w:noProof/>
        </w:rPr>
        <w:t>5</w:t>
      </w:r>
      <w:r w:rsidR="00EF3F11">
        <w:t>.</w:t>
      </w:r>
      <w:r w:rsidR="00EF3F11">
        <w:rPr>
          <w:noProof/>
        </w:rPr>
        <w:t>2</w:t>
      </w:r>
      <w:r w:rsidR="00CD6D06">
        <w:fldChar w:fldCharType="end"/>
      </w:r>
      <w:r w:rsidR="00520BB0">
        <w:t>.</w:t>
      </w:r>
    </w:p>
    <w:p w:rsidR="00590FEE" w:rsidRDefault="00590FEE" w:rsidP="00590FEE">
      <w:pPr>
        <w:pStyle w:val="Heading4"/>
      </w:pPr>
      <w:bookmarkStart w:id="21" w:name="_Toc193615437"/>
      <w:r>
        <w:lastRenderedPageBreak/>
        <w:t>Displacement Approach</w:t>
      </w:r>
      <w:bookmarkEnd w:id="21"/>
    </w:p>
    <w:p w:rsidR="00590FEE" w:rsidRDefault="00E664B2" w:rsidP="00A9187A">
      <w:pPr>
        <w:ind w:firstLine="720"/>
      </w:pPr>
      <w:r>
        <w:t>It is commonly accepted that it takes much more movement for a mass of soil to achieve a passive state than an active state.  However, the magnitude of movement required to reach the passive state is not well understood.  It is commonly assumed in design that the required movement is 2% of the wall height.</w:t>
      </w:r>
      <w:r w:rsidR="00A9187A">
        <w:t xml:space="preserve">  This value also appears in the AASHTO Specifications</w:t>
      </w:r>
      <w:r w:rsidR="004436FB">
        <w:t xml:space="preserve"> (AASHTO 2002, 2004</w:t>
      </w:r>
      <w:r w:rsidR="003726ED">
        <w:t>)</w:t>
      </w:r>
      <w:r w:rsidR="00A9187A">
        <w:t>.</w:t>
      </w:r>
      <w:r>
        <w:t xml:space="preserve">  </w:t>
      </w:r>
      <w:r w:rsidR="00A9187A">
        <w:t xml:space="preserve">For the </w:t>
      </w:r>
      <w:r w:rsidR="003726ED">
        <w:t>models used in this investigation</w:t>
      </w:r>
      <w:r w:rsidR="00A9187A">
        <w:t xml:space="preserve">, it was assumed that the maximum spring force was reached at a displacement, </w:t>
      </w:r>
      <w:r w:rsidR="00A9187A" w:rsidRPr="00590FEE">
        <w:rPr>
          <w:rFonts w:ascii="Symbol" w:hAnsi="Symbol"/>
          <w:i/>
        </w:rPr>
        <w:t></w:t>
      </w:r>
      <w:r w:rsidR="00A9187A" w:rsidRPr="00590FEE">
        <w:rPr>
          <w:i/>
          <w:vertAlign w:val="subscript"/>
        </w:rPr>
        <w:t>u</w:t>
      </w:r>
      <w:r w:rsidR="00A9187A">
        <w:rPr>
          <w:i/>
        </w:rPr>
        <w:t xml:space="preserve"> =</w:t>
      </w:r>
      <w:r w:rsidR="00A9187A">
        <w:t xml:space="preserve"> 0.</w:t>
      </w:r>
      <w:r w:rsidR="004436FB">
        <w:t>02(10 ft) = 0.2 ft or 2.4 in</w:t>
      </w:r>
      <w:r w:rsidR="00A9187A">
        <w:t>.</w:t>
      </w:r>
    </w:p>
    <w:p w:rsidR="00590FEE" w:rsidRDefault="00590FEE" w:rsidP="00590FEE">
      <w:pPr>
        <w:pStyle w:val="Heading4"/>
      </w:pPr>
      <w:bookmarkStart w:id="22" w:name="_Toc193615438"/>
      <w:r>
        <w:t>Stiffness Approach</w:t>
      </w:r>
      <w:bookmarkEnd w:id="22"/>
    </w:p>
    <w:p w:rsidR="00EC5486" w:rsidRDefault="004436FB" w:rsidP="003726ED">
      <w:pPr>
        <w:ind w:firstLine="720"/>
      </w:pPr>
      <w:r>
        <w:t>The abutment-</w:t>
      </w:r>
      <w:r w:rsidR="00520BB0">
        <w:t xml:space="preserve">soil spring stiffnesses were also estimated based on the measured subgrade modulus, </w:t>
      </w:r>
      <w:r w:rsidR="00520BB0" w:rsidRPr="00520BB0">
        <w:rPr>
          <w:i/>
        </w:rPr>
        <w:t>n</w:t>
      </w:r>
      <w:r w:rsidR="00520BB0" w:rsidRPr="00520BB0">
        <w:rPr>
          <w:i/>
          <w:vertAlign w:val="subscript"/>
        </w:rPr>
        <w:t>h</w:t>
      </w:r>
      <w:r w:rsidR="00520BB0">
        <w:t>, discussed in Chapter 3.  It was shown in Chapter 3 that the measured subgrade modulus was approximately 11 ksf/in</w:t>
      </w:r>
      <w:r>
        <w:t>.</w:t>
      </w:r>
      <w:r w:rsidR="00520BB0">
        <w:t xml:space="preserve"> at the level of the earth pressure cells located 8.75 ft below the ground surface.  For the stiffness approach it was assumed that the subgrade modulus v</w:t>
      </w:r>
      <w:r w:rsidR="003726ED">
        <w:t>aried linearly from a value of zero</w:t>
      </w:r>
      <w:r w:rsidR="00520BB0">
        <w:t xml:space="preserve"> at the ground surface (</w:t>
      </w:r>
      <w:r w:rsidR="00520BB0" w:rsidRPr="003726ED">
        <w:rPr>
          <w:i/>
        </w:rPr>
        <w:t>z</w:t>
      </w:r>
      <w:r w:rsidR="003726ED">
        <w:t xml:space="preserve"> </w:t>
      </w:r>
      <w:r w:rsidR="00520BB0">
        <w:t>=</w:t>
      </w:r>
      <w:r w:rsidR="003726ED">
        <w:t xml:space="preserve"> </w:t>
      </w:r>
      <w:r w:rsidR="00520BB0">
        <w:t xml:space="preserve">0) to a value of 11 ksf/in. at the </w:t>
      </w:r>
      <w:r w:rsidR="00DE32D0">
        <w:t xml:space="preserve">location of the </w:t>
      </w:r>
      <w:r w:rsidR="00520BB0">
        <w:t>earth pressure cells</w:t>
      </w:r>
      <w:r>
        <w:t xml:space="preserve"> (</w:t>
      </w:r>
      <w:r w:rsidR="00CD6D06">
        <w:fldChar w:fldCharType="begin"/>
      </w:r>
      <w:r>
        <w:instrText xml:space="preserve"> REF _Ref194567594 \h </w:instrText>
      </w:r>
      <w:r w:rsidR="00CD6D06">
        <w:fldChar w:fldCharType="separate"/>
      </w:r>
      <w:r w:rsidR="00EF3F11">
        <w:t xml:space="preserve">Figure </w:t>
      </w:r>
      <w:r w:rsidR="00EF3F11">
        <w:rPr>
          <w:noProof/>
        </w:rPr>
        <w:t>5</w:t>
      </w:r>
      <w:r w:rsidR="00EF3F11">
        <w:t>.</w:t>
      </w:r>
      <w:r w:rsidR="00EF3F11">
        <w:rPr>
          <w:noProof/>
        </w:rPr>
        <w:t>6</w:t>
      </w:r>
      <w:r w:rsidR="00CD6D06">
        <w:fldChar w:fldCharType="end"/>
      </w:r>
      <w:r>
        <w:t>)</w:t>
      </w:r>
      <w:r w:rsidR="00520BB0">
        <w:t>.</w:t>
      </w:r>
      <w:r w:rsidR="00EC5486">
        <w:t xml:space="preserve">  The subgrade modulus at any depth may then be expressed as:</w:t>
      </w:r>
    </w:p>
    <w:p w:rsidR="003726ED" w:rsidRDefault="003726ED" w:rsidP="003726ED">
      <w:pPr>
        <w:ind w:firstLine="72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9"/>
        <w:gridCol w:w="6199"/>
        <w:gridCol w:w="1328"/>
      </w:tblGrid>
      <w:tr w:rsidR="00EC5486" w:rsidTr="00CC0DA9">
        <w:tc>
          <w:tcPr>
            <w:tcW w:w="750" w:type="pct"/>
            <w:vAlign w:val="center"/>
          </w:tcPr>
          <w:p w:rsidR="00EC5486" w:rsidRDefault="00EC5486"/>
        </w:tc>
        <w:tc>
          <w:tcPr>
            <w:tcW w:w="3500" w:type="pct"/>
            <w:vAlign w:val="center"/>
          </w:tcPr>
          <w:p w:rsidR="00EC5486" w:rsidRDefault="00CD6D06" w:rsidP="00CC0DA9">
            <w:pPr>
              <w:jc w:val="center"/>
            </w:pPr>
            <m:oMathPara>
              <m:oMath>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m:t>
                </m:r>
                <m:d>
                  <m:dPr>
                    <m:ctrlPr>
                      <w:rPr>
                        <w:rFonts w:ascii="Cambria Math" w:hAnsi="Cambria Math"/>
                        <w:i/>
                      </w:rPr>
                    </m:ctrlPr>
                  </m:dPr>
                  <m:e>
                    <m:r>
                      <w:rPr>
                        <w:rFonts w:ascii="Cambria Math" w:hAnsi="Cambria Math"/>
                      </w:rPr>
                      <m:t>11</m:t>
                    </m:r>
                    <m:f>
                      <m:fPr>
                        <m:ctrlPr>
                          <w:rPr>
                            <w:rFonts w:ascii="Cambria Math" w:hAnsi="Cambria Math"/>
                            <w:i/>
                          </w:rPr>
                        </m:ctrlPr>
                      </m:fPr>
                      <m:num>
                        <m:r>
                          <w:rPr>
                            <w:rFonts w:ascii="Cambria Math" w:hAnsi="Cambria Math"/>
                          </w:rPr>
                          <m:t>ksf</m:t>
                        </m:r>
                      </m:num>
                      <m:den>
                        <m:r>
                          <w:rPr>
                            <w:rFonts w:ascii="Cambria Math" w:hAnsi="Cambria Math"/>
                          </w:rPr>
                          <m:t>in</m:t>
                        </m:r>
                      </m:den>
                    </m:f>
                  </m:e>
                </m:d>
                <m:d>
                  <m:dPr>
                    <m:ctrlPr>
                      <w:rPr>
                        <w:rFonts w:ascii="Cambria Math" w:hAnsi="Cambria Math"/>
                        <w:i/>
                      </w:rPr>
                    </m:ctrlPr>
                  </m:dPr>
                  <m:e>
                    <m:f>
                      <m:fPr>
                        <m:ctrlPr>
                          <w:rPr>
                            <w:rFonts w:ascii="Cambria Math" w:hAnsi="Cambria Math"/>
                            <w:i/>
                          </w:rPr>
                        </m:ctrlPr>
                      </m:fPr>
                      <m:num>
                        <m:r>
                          <w:rPr>
                            <w:rFonts w:ascii="Cambria Math" w:hAnsi="Cambria Math"/>
                          </w:rPr>
                          <m:t>z</m:t>
                        </m:r>
                      </m:num>
                      <m:den>
                        <m:r>
                          <w:rPr>
                            <w:rFonts w:ascii="Cambria Math" w:hAnsi="Cambria Math"/>
                          </w:rPr>
                          <m:t>8.75</m:t>
                        </m:r>
                      </m:den>
                    </m:f>
                  </m:e>
                </m:d>
              </m:oMath>
            </m:oMathPara>
          </w:p>
        </w:tc>
        <w:tc>
          <w:tcPr>
            <w:tcW w:w="750" w:type="pct"/>
            <w:vAlign w:val="center"/>
          </w:tcPr>
          <w:p w:rsidR="00EC5486" w:rsidRDefault="00EC5486" w:rsidP="00EC5486">
            <w:pPr>
              <w:pStyle w:val="ListParagraph"/>
              <w:numPr>
                <w:ilvl w:val="1"/>
                <w:numId w:val="6"/>
              </w:numPr>
              <w:spacing w:after="0" w:line="240" w:lineRule="auto"/>
              <w:jc w:val="right"/>
            </w:pPr>
          </w:p>
        </w:tc>
      </w:tr>
    </w:tbl>
    <w:p w:rsidR="003726ED" w:rsidRDefault="003726ED" w:rsidP="00D705E8"/>
    <w:p w:rsidR="004436FB" w:rsidRDefault="004436FB" w:rsidP="00D705E8">
      <w:r>
        <w:tab/>
        <w:t>where:</w:t>
      </w:r>
    </w:p>
    <w:p w:rsidR="004436FB" w:rsidRDefault="004436FB" w:rsidP="00D705E8">
      <w:r>
        <w:tab/>
      </w:r>
      <w:r>
        <w:tab/>
        <w:t>z    =    depth below ground surface (ft)</w:t>
      </w:r>
    </w:p>
    <w:p w:rsidR="00E2587F" w:rsidRDefault="00E2587F" w:rsidP="00D705E8">
      <w:r>
        <w:tab/>
      </w:r>
      <w:r>
        <w:tab/>
        <w:t>s    =    spring spacing (ft)</w:t>
      </w:r>
    </w:p>
    <w:p w:rsidR="00E2587F" w:rsidRDefault="00E2587F" w:rsidP="00D705E8"/>
    <w:p w:rsidR="00EC5486" w:rsidRDefault="00EC5486" w:rsidP="00D705E8">
      <w:r>
        <w:t>The spring stiffness may then be computed as:</w:t>
      </w:r>
    </w:p>
    <w:p w:rsidR="003726ED" w:rsidRDefault="003726ED" w:rsidP="00D705E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9"/>
        <w:gridCol w:w="6199"/>
        <w:gridCol w:w="1328"/>
      </w:tblGrid>
      <w:tr w:rsidR="00EC5486" w:rsidTr="00CC0DA9">
        <w:tc>
          <w:tcPr>
            <w:tcW w:w="750" w:type="pct"/>
            <w:vAlign w:val="center"/>
          </w:tcPr>
          <w:p w:rsidR="00EC5486" w:rsidRDefault="00EC5486"/>
        </w:tc>
        <w:tc>
          <w:tcPr>
            <w:tcW w:w="3500" w:type="pct"/>
            <w:vAlign w:val="center"/>
          </w:tcPr>
          <w:p w:rsidR="00EC5486" w:rsidRDefault="00EC5486" w:rsidP="00CC0DA9">
            <w:pPr>
              <w:jc w:val="center"/>
            </w:pPr>
            <m:oMathPara>
              <m:oMath>
                <m:r>
                  <w:rPr>
                    <w:rFonts w:ascii="Cambria Math" w:hAnsi="Cambria Math"/>
                  </w:rPr>
                  <m:t>k=</m:t>
                </m:r>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∙w∙s</m:t>
                </m:r>
              </m:oMath>
            </m:oMathPara>
          </w:p>
        </w:tc>
        <w:tc>
          <w:tcPr>
            <w:tcW w:w="750" w:type="pct"/>
            <w:vAlign w:val="center"/>
          </w:tcPr>
          <w:p w:rsidR="00EC5486" w:rsidRDefault="00EC5486" w:rsidP="00EC5486">
            <w:pPr>
              <w:pStyle w:val="ListParagraph"/>
              <w:numPr>
                <w:ilvl w:val="1"/>
                <w:numId w:val="6"/>
              </w:numPr>
              <w:spacing w:after="0" w:line="240" w:lineRule="auto"/>
              <w:jc w:val="right"/>
            </w:pPr>
          </w:p>
        </w:tc>
      </w:tr>
    </w:tbl>
    <w:p w:rsidR="003726ED" w:rsidRDefault="003726ED" w:rsidP="00D705E8"/>
    <w:p w:rsidR="00EC5486" w:rsidRDefault="00EC5486" w:rsidP="00D705E8">
      <w:r>
        <w:t xml:space="preserve">As can be seen in </w:t>
      </w:r>
      <w:r w:rsidR="00CD6D06">
        <w:fldChar w:fldCharType="begin"/>
      </w:r>
      <w:r w:rsidR="00B907FD">
        <w:instrText xml:space="preserve"> REF _Ref193018014 \h </w:instrText>
      </w:r>
      <w:r w:rsidR="00CD6D06">
        <w:fldChar w:fldCharType="separate"/>
      </w:r>
      <w:r w:rsidR="00EF3F11">
        <w:t xml:space="preserve">Table </w:t>
      </w:r>
      <w:r w:rsidR="00EF3F11">
        <w:rPr>
          <w:noProof/>
        </w:rPr>
        <w:t>5</w:t>
      </w:r>
      <w:r w:rsidR="00EF3F11">
        <w:t>.</w:t>
      </w:r>
      <w:r w:rsidR="00EF3F11">
        <w:rPr>
          <w:noProof/>
        </w:rPr>
        <w:t>2</w:t>
      </w:r>
      <w:r w:rsidR="00CD6D06">
        <w:fldChar w:fldCharType="end"/>
      </w:r>
      <w:r w:rsidR="004436FB">
        <w:t>,</w:t>
      </w:r>
      <w:r w:rsidR="00B907FD">
        <w:t xml:space="preserve"> </w:t>
      </w:r>
      <w:r>
        <w:t xml:space="preserve">the spring stiffnesses computed by this approach are approximately 7 times stiffer than those computed from the displacement approach.  Both </w:t>
      </w:r>
      <w:r>
        <w:lastRenderedPageBreak/>
        <w:t>approaches will be used to the analyses to determine the influence on overall abutment response.</w:t>
      </w:r>
      <w:r w:rsidR="004436FB">
        <w:t xml:space="preserve">  Also shown in the table are spring stiffness values for a subgrade modulus of 5.5 ksf/in. and 22 ksf/in. representing one-half and twice the measured value respectively.  These values will be used to determine the sensitivity of the model to the value of subgrade modulus. </w:t>
      </w:r>
    </w:p>
    <w:p w:rsidR="00A92733" w:rsidRDefault="00A92733">
      <w:pPr>
        <w:spacing w:line="240" w:lineRule="auto"/>
      </w:pPr>
    </w:p>
    <w:p w:rsidR="00A92733" w:rsidRDefault="00A92733" w:rsidP="00A92733">
      <w:pPr>
        <w:spacing w:line="240" w:lineRule="auto"/>
      </w:pPr>
    </w:p>
    <w:p w:rsidR="00A92733" w:rsidRDefault="00A92733" w:rsidP="00A92733">
      <w:pPr>
        <w:spacing w:line="240" w:lineRule="auto"/>
        <w:jc w:val="center"/>
      </w:pPr>
      <w:r w:rsidRPr="00DE32D0">
        <w:rPr>
          <w:noProof/>
        </w:rPr>
        <w:drawing>
          <wp:inline distT="0" distB="0" distL="0" distR="0">
            <wp:extent cx="2590800" cy="198120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2590800" cy="1981200"/>
                    </a:xfrm>
                    <a:prstGeom prst="rect">
                      <a:avLst/>
                    </a:prstGeom>
                    <a:noFill/>
                    <a:ln w="9525">
                      <a:noFill/>
                      <a:miter lim="800000"/>
                      <a:headEnd/>
                      <a:tailEnd/>
                    </a:ln>
                  </pic:spPr>
                </pic:pic>
              </a:graphicData>
            </a:graphic>
          </wp:inline>
        </w:drawing>
      </w:r>
    </w:p>
    <w:p w:rsidR="00A92733" w:rsidRDefault="00A92733" w:rsidP="00A92733">
      <w:pPr>
        <w:spacing w:line="240" w:lineRule="auto"/>
        <w:jc w:val="center"/>
      </w:pPr>
    </w:p>
    <w:p w:rsidR="00A92733" w:rsidRDefault="00A92733" w:rsidP="00A92733">
      <w:pPr>
        <w:pStyle w:val="Caption"/>
      </w:pPr>
      <w:bookmarkStart w:id="23" w:name="_Ref194567594"/>
      <w:bookmarkStart w:id="24" w:name="_Toc193615523"/>
      <w:r>
        <w:t xml:space="preserve">Figure </w:t>
      </w:r>
      <w:fldSimple w:instr=" STYLEREF 1 \s ">
        <w:r w:rsidR="00EF3F11">
          <w:rPr>
            <w:noProof/>
          </w:rPr>
          <w:t>5</w:t>
        </w:r>
      </w:fldSimple>
      <w:r w:rsidR="00630774">
        <w:t>.</w:t>
      </w:r>
      <w:fldSimple w:instr=" SEQ Figure \* ARABIC \s 1 ">
        <w:r w:rsidR="00EF3F11">
          <w:rPr>
            <w:noProof/>
          </w:rPr>
          <w:t>6</w:t>
        </w:r>
      </w:fldSimple>
      <w:bookmarkEnd w:id="23"/>
      <w:r>
        <w:t>: Variation of Subgrade Modulus</w:t>
      </w:r>
      <w:bookmarkEnd w:id="24"/>
    </w:p>
    <w:p w:rsidR="00A92733" w:rsidRDefault="00A92733">
      <w:pPr>
        <w:spacing w:line="240" w:lineRule="auto"/>
      </w:pPr>
    </w:p>
    <w:p w:rsidR="00A92733" w:rsidRDefault="00A92733" w:rsidP="00A92733">
      <w:pPr>
        <w:pStyle w:val="Heading2"/>
      </w:pPr>
      <w:bookmarkStart w:id="25" w:name="_Toc193615439"/>
      <w:r>
        <w:t>Analysis Cases</w:t>
      </w:r>
      <w:bookmarkEnd w:id="25"/>
    </w:p>
    <w:p w:rsidR="00434E6E" w:rsidRDefault="00A92733" w:rsidP="00C1319B">
      <w:pPr>
        <w:ind w:firstLine="576"/>
      </w:pPr>
      <w:r>
        <w:t xml:space="preserve">Five series of analyses were conducted to evaluate the effects of: (1) no backfill resistance, (2) backfill stiffness, (3) backfill strength, (4) span length, and (5) the “pin” detail which was tested in the experimental investigation.  The details of each series are discussed in the following sections and summarized in </w:t>
      </w:r>
      <w:r w:rsidR="00CD6D06">
        <w:fldChar w:fldCharType="begin"/>
      </w:r>
      <w:r>
        <w:instrText xml:space="preserve"> REF _Ref193016501 \h </w:instrText>
      </w:r>
      <w:r w:rsidR="00CD6D06">
        <w:fldChar w:fldCharType="separate"/>
      </w:r>
      <w:r w:rsidR="00EF3F11">
        <w:t xml:space="preserve">Table </w:t>
      </w:r>
      <w:r w:rsidR="00EF3F11">
        <w:rPr>
          <w:noProof/>
        </w:rPr>
        <w:t>5</w:t>
      </w:r>
      <w:r w:rsidR="00EF3F11">
        <w:t>.</w:t>
      </w:r>
      <w:r w:rsidR="00EF3F11">
        <w:rPr>
          <w:noProof/>
        </w:rPr>
        <w:t>3</w:t>
      </w:r>
      <w:r w:rsidR="00CD6D06">
        <w:fldChar w:fldCharType="end"/>
      </w:r>
      <w:r>
        <w:t xml:space="preserve">.  For each series, displacements of the abutment were computed using the </w:t>
      </w:r>
      <w:r w:rsidR="00C1319B">
        <w:t>26</w:t>
      </w:r>
      <w:r>
        <w:t xml:space="preserve"> ground motions described in Chapter 2: </w:t>
      </w:r>
      <w:r w:rsidR="00C1319B">
        <w:t>8 unscaled motions, 6 AASHTO-scaled motions, 6 EE-scaled motions, and 6</w:t>
      </w:r>
      <w:r>
        <w:t xml:space="preserve"> MCE-scaled ground motions.  Non-linear time-history analysis was performed for all cases.</w:t>
      </w:r>
      <w:r w:rsidR="00C1319B">
        <w:t xml:space="preserve">  While a spectral analysis could be performed with the design spectra, this procedure cannot account for the non-linearity of response.  Therefore the scaled ground motions developed in Chapter 2 were used.  Is should be noted that the unscaled records represent actual ground motions and are useful in that regard.  However, they do not necessarily represent design requirements for Indiana.</w:t>
      </w:r>
      <w:r w:rsidR="00434E6E">
        <w:br w:type="page"/>
      </w:r>
    </w:p>
    <w:p w:rsidR="003016A8" w:rsidRDefault="00CD6D06">
      <w:pPr>
        <w:spacing w:line="240" w:lineRule="auto"/>
      </w:pPr>
      <w:r>
        <w:rPr>
          <w:noProof/>
        </w:rPr>
        <w:lastRenderedPageBreak/>
        <w:pict>
          <v:shapetype id="_x0000_t202" coordsize="21600,21600" o:spt="202" path="m,l,21600r21600,l21600,xe">
            <v:stroke joinstyle="miter"/>
            <v:path gradientshapeok="t" o:connecttype="rect"/>
          </v:shapetype>
          <v:shape id="_x0000_s1044" type="#_x0000_t202" style="position:absolute;margin-left:61.85pt;margin-top:369.2pt;width:43.15pt;height:47.25pt;z-index:251705344;mso-position-horizontal-relative:margin" stroked="f">
            <v:textbox style="layout-flow:vertical;mso-layout-flow-alt:bottom-to-top;mso-next-textbox:#_x0000_s1044" inset="0,0,0,0">
              <w:txbxContent>
                <w:p w:rsidR="00B9209B" w:rsidRPr="00B9209B" w:rsidRDefault="00B9209B" w:rsidP="00B9209B">
                  <w:pPr>
                    <w:spacing w:line="240" w:lineRule="auto"/>
                    <w:jc w:val="center"/>
                    <w:rPr>
                      <w:b/>
                      <w:sz w:val="22"/>
                      <w:szCs w:val="22"/>
                    </w:rPr>
                  </w:pPr>
                  <w:r>
                    <w:rPr>
                      <w:b/>
                      <w:sz w:val="22"/>
                      <w:szCs w:val="22"/>
                    </w:rPr>
                    <w:t>Passive Force</w:t>
                  </w:r>
                </w:p>
                <w:p w:rsidR="00B9209B" w:rsidRPr="00B9209B" w:rsidRDefault="004620D0" w:rsidP="00B9209B">
                  <w:pPr>
                    <w:spacing w:line="240" w:lineRule="auto"/>
                    <w:jc w:val="center"/>
                    <w:rPr>
                      <w:b/>
                      <w:i/>
                    </w:rPr>
                  </w:pPr>
                  <w:r>
                    <w:rPr>
                      <w:b/>
                      <w:i/>
                    </w:rPr>
                    <w:t>P</w:t>
                  </w:r>
                  <w:r w:rsidR="00B9209B" w:rsidRPr="00B9209B">
                    <w:rPr>
                      <w:b/>
                      <w:i/>
                      <w:vertAlign w:val="subscript"/>
                    </w:rPr>
                    <w:t>p</w:t>
                  </w:r>
                </w:p>
              </w:txbxContent>
            </v:textbox>
            <w10:wrap anchorx="margin"/>
          </v:shape>
        </w:pict>
      </w:r>
      <w:r>
        <w:rPr>
          <w:noProof/>
        </w:rPr>
        <w:pict>
          <v:shape id="_x0000_s1043" type="#_x0000_t202" style="position:absolute;margin-left:61.25pt;margin-top:421.1pt;width:43.15pt;height:60.45pt;z-index:251704320;mso-position-horizontal-relative:margin" stroked="f">
            <v:textbox style="layout-flow:vertical;mso-layout-flow-alt:bottom-to-top;mso-next-textbox:#_x0000_s1043" inset="0,0,0,0">
              <w:txbxContent>
                <w:p w:rsidR="00B9209B" w:rsidRPr="00B9209B" w:rsidRDefault="00B9209B" w:rsidP="00B9209B">
                  <w:pPr>
                    <w:spacing w:line="240" w:lineRule="auto"/>
                    <w:jc w:val="center"/>
                    <w:rPr>
                      <w:b/>
                      <w:sz w:val="22"/>
                      <w:szCs w:val="22"/>
                    </w:rPr>
                  </w:pPr>
                  <w:r>
                    <w:rPr>
                      <w:b/>
                      <w:sz w:val="22"/>
                      <w:szCs w:val="22"/>
                    </w:rPr>
                    <w:t>Passive Pressure</w:t>
                  </w:r>
                </w:p>
                <w:p w:rsidR="00B9209B" w:rsidRPr="00B9209B" w:rsidRDefault="00B9209B" w:rsidP="00B9209B">
                  <w:pPr>
                    <w:spacing w:line="240" w:lineRule="auto"/>
                    <w:jc w:val="center"/>
                    <w:rPr>
                      <w:b/>
                      <w:i/>
                    </w:rPr>
                  </w:pPr>
                  <w:r>
                    <w:rPr>
                      <w:b/>
                      <w:i/>
                    </w:rPr>
                    <w:t>p</w:t>
                  </w:r>
                  <w:r w:rsidRPr="00B9209B">
                    <w:rPr>
                      <w:b/>
                      <w:i/>
                      <w:vertAlign w:val="subscript"/>
                    </w:rPr>
                    <w:t>p</w:t>
                  </w:r>
                </w:p>
              </w:txbxContent>
            </v:textbox>
            <w10:wrap anchorx="margin"/>
          </v:shape>
        </w:pict>
      </w:r>
      <w:r>
        <w:rPr>
          <w:noProof/>
        </w:rPr>
        <w:pict>
          <v:shape id="_x0000_s1042" type="#_x0000_t202" style="position:absolute;margin-left:61.85pt;margin-top:485.1pt;width:43.15pt;height:46pt;z-index:251703296;mso-position-horizontal-relative:margin" stroked="f">
            <v:textbox style="layout-flow:vertical;mso-layout-flow-alt:bottom-to-top;mso-next-textbox:#_x0000_s1042">
              <w:txbxContent>
                <w:p w:rsidR="00B9209B" w:rsidRPr="00B9209B" w:rsidRDefault="00B9209B" w:rsidP="00B9209B">
                  <w:pPr>
                    <w:spacing w:line="240" w:lineRule="auto"/>
                    <w:jc w:val="center"/>
                    <w:rPr>
                      <w:b/>
                      <w:sz w:val="22"/>
                      <w:szCs w:val="22"/>
                    </w:rPr>
                  </w:pPr>
                  <w:r w:rsidRPr="00B9209B">
                    <w:rPr>
                      <w:b/>
                      <w:sz w:val="22"/>
                      <w:szCs w:val="22"/>
                    </w:rPr>
                    <w:t>Spacing</w:t>
                  </w:r>
                </w:p>
                <w:p w:rsidR="00B9209B" w:rsidRPr="00B9209B" w:rsidRDefault="00B9209B" w:rsidP="00B9209B">
                  <w:pPr>
                    <w:spacing w:line="240" w:lineRule="auto"/>
                    <w:jc w:val="center"/>
                    <w:rPr>
                      <w:b/>
                      <w:i/>
                    </w:rPr>
                  </w:pPr>
                  <w:r>
                    <w:rPr>
                      <w:b/>
                      <w:i/>
                    </w:rPr>
                    <w:t>s</w:t>
                  </w:r>
                </w:p>
              </w:txbxContent>
            </v:textbox>
            <w10:wrap anchorx="margin"/>
          </v:shape>
        </w:pict>
      </w:r>
      <w:r>
        <w:rPr>
          <w:noProof/>
        </w:rPr>
        <w:pict>
          <v:shape id="_x0000_s1041" type="#_x0000_t202" style="position:absolute;margin-left:61.85pt;margin-top:540pt;width:43.15pt;height:39pt;z-index:251702272;mso-position-horizontal-relative:margin" stroked="f">
            <v:textbox style="layout-flow:vertical;mso-layout-flow-alt:bottom-to-top;mso-next-textbox:#_x0000_s1041">
              <w:txbxContent>
                <w:p w:rsidR="00B9209B" w:rsidRPr="00B9209B" w:rsidRDefault="00B9209B" w:rsidP="00B9209B">
                  <w:pPr>
                    <w:spacing w:line="240" w:lineRule="auto"/>
                    <w:jc w:val="center"/>
                    <w:rPr>
                      <w:b/>
                    </w:rPr>
                  </w:pPr>
                  <w:r w:rsidRPr="00B9209B">
                    <w:rPr>
                      <w:b/>
                    </w:rPr>
                    <w:t>Depth</w:t>
                  </w:r>
                </w:p>
                <w:p w:rsidR="00B9209B" w:rsidRPr="00B9209B" w:rsidRDefault="00B9209B" w:rsidP="00B9209B">
                  <w:pPr>
                    <w:spacing w:line="240" w:lineRule="auto"/>
                    <w:jc w:val="center"/>
                    <w:rPr>
                      <w:b/>
                      <w:i/>
                    </w:rPr>
                  </w:pPr>
                  <w:r w:rsidRPr="00B9209B">
                    <w:rPr>
                      <w:b/>
                      <w:i/>
                    </w:rPr>
                    <w:t>z</w:t>
                  </w:r>
                </w:p>
              </w:txbxContent>
            </v:textbox>
            <w10:wrap anchorx="margin"/>
          </v:shape>
        </w:pict>
      </w:r>
      <w:r w:rsidR="003016A8">
        <w:rPr>
          <w:noProof/>
        </w:rPr>
        <w:drawing>
          <wp:anchor distT="0" distB="0" distL="114300" distR="114300" simplePos="0" relativeHeight="251688960" behindDoc="0" locked="0" layoutInCell="1" allowOverlap="1">
            <wp:simplePos x="0" y="0"/>
            <wp:positionH relativeFrom="column">
              <wp:posOffset>-1325109</wp:posOffset>
            </wp:positionH>
            <wp:positionV relativeFrom="paragraph">
              <wp:posOffset>2644140</wp:posOffset>
            </wp:positionV>
            <wp:extent cx="6871063" cy="2696845"/>
            <wp:effectExtent l="0" t="2095500" r="0" b="2065655"/>
            <wp:wrapNone/>
            <wp:docPr id="4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srcRect/>
                    <a:stretch>
                      <a:fillRect/>
                    </a:stretch>
                  </pic:blipFill>
                  <pic:spPr bwMode="auto">
                    <a:xfrm rot="16200000">
                      <a:off x="0" y="0"/>
                      <a:ext cx="6871063" cy="2696845"/>
                    </a:xfrm>
                    <a:prstGeom prst="rect">
                      <a:avLst/>
                    </a:prstGeom>
                    <a:noFill/>
                    <a:ln w="9525">
                      <a:noFill/>
                      <a:miter lim="800000"/>
                      <a:headEnd/>
                      <a:tailEnd/>
                    </a:ln>
                  </pic:spPr>
                </pic:pic>
              </a:graphicData>
            </a:graphic>
          </wp:anchor>
        </w:drawing>
      </w:r>
      <w:r>
        <w:rPr>
          <w:noProof/>
        </w:rPr>
        <w:pict>
          <v:shape id="_x0000_s1039" type="#_x0000_t202" style="position:absolute;margin-left:12pt;margin-top:9pt;width:30pt;height:612pt;z-index:251689984;mso-position-horizontal-relative:text;mso-position-vertical-relative:text" stroked="f">
            <v:textbox style="layout-flow:vertical;mso-layout-flow-alt:bottom-to-top;mso-next-textbox:#_x0000_s1039">
              <w:txbxContent>
                <w:p w:rsidR="00B9209B" w:rsidRDefault="00B9209B" w:rsidP="00192D28">
                  <w:pPr>
                    <w:pStyle w:val="Caption"/>
                  </w:pPr>
                  <w:bookmarkStart w:id="26" w:name="_Ref193018014"/>
                  <w:bookmarkStart w:id="27" w:name="_Toc193615469"/>
                  <w:r>
                    <w:t xml:space="preserve">Table </w:t>
                  </w:r>
                  <w:fldSimple w:instr=" STYLEREF 1 \s ">
                    <w:r w:rsidR="00EF3F11">
                      <w:rPr>
                        <w:noProof/>
                      </w:rPr>
                      <w:t>5</w:t>
                    </w:r>
                  </w:fldSimple>
                  <w:r>
                    <w:t>.</w:t>
                  </w:r>
                  <w:fldSimple w:instr=" SEQ Table \* ARABIC \s 1 ">
                    <w:r w:rsidR="00EF3F11">
                      <w:rPr>
                        <w:noProof/>
                      </w:rPr>
                      <w:t>2</w:t>
                    </w:r>
                  </w:fldSimple>
                  <w:bookmarkEnd w:id="26"/>
                  <w:r>
                    <w:t>: Abutment-Soil Spring Parameters</w:t>
                  </w:r>
                  <w:bookmarkEnd w:id="27"/>
                </w:p>
              </w:txbxContent>
            </v:textbox>
          </v:shape>
        </w:pict>
      </w:r>
      <w:r w:rsidR="003016A8">
        <w:br w:type="page"/>
      </w:r>
    </w:p>
    <w:p w:rsidR="00DE32D0" w:rsidRDefault="00DE32D0">
      <w:pPr>
        <w:spacing w:line="240" w:lineRule="auto"/>
      </w:pPr>
    </w:p>
    <w:p w:rsidR="00DE32D0" w:rsidRDefault="00DE32D0">
      <w:pPr>
        <w:spacing w:line="240" w:lineRule="auto"/>
      </w:pPr>
    </w:p>
    <w:p w:rsidR="00374766" w:rsidRDefault="00374766" w:rsidP="00374766">
      <w:pPr>
        <w:pStyle w:val="Heading3"/>
      </w:pPr>
      <w:bookmarkStart w:id="28" w:name="_Toc193615440"/>
      <w:r>
        <w:t xml:space="preserve">Series 1 – </w:t>
      </w:r>
      <w:r w:rsidR="005D4792">
        <w:t>Pile Springs (No Backfill)</w:t>
      </w:r>
      <w:bookmarkEnd w:id="28"/>
    </w:p>
    <w:p w:rsidR="00374766" w:rsidRDefault="00A34F88" w:rsidP="00A34F88">
      <w:pPr>
        <w:ind w:firstLine="720"/>
      </w:pPr>
      <w:r>
        <w:t xml:space="preserve">Models constructed for Series 1 had no abutment-soil springs.  Lateral load resistance was provided by the foundations piles and </w:t>
      </w:r>
      <w:r w:rsidR="00904B63">
        <w:t>pile-</w:t>
      </w:r>
      <w:r>
        <w:t>soil springs only.  To determine the influence of soil stiffness, three soil stiffnesses were included in Series 1: loose (</w:t>
      </w:r>
      <w:r w:rsidRPr="00A34F88">
        <w:rPr>
          <w:i/>
        </w:rPr>
        <w:sym w:font="Symbol" w:char="F066"/>
      </w:r>
      <w:r>
        <w:t xml:space="preserve"> = 30°), medium (</w:t>
      </w:r>
      <w:r w:rsidRPr="00A34F88">
        <w:rPr>
          <w:i/>
        </w:rPr>
        <w:sym w:font="Symbol" w:char="F066"/>
      </w:r>
      <w:r>
        <w:rPr>
          <w:i/>
        </w:rPr>
        <w:t xml:space="preserve"> </w:t>
      </w:r>
      <w:r>
        <w:t>= 35°), and dense (</w:t>
      </w:r>
      <w:r w:rsidRPr="00A34F88">
        <w:rPr>
          <w:i/>
        </w:rPr>
        <w:sym w:font="Symbol" w:char="F066"/>
      </w:r>
      <w:r>
        <w:rPr>
          <w:i/>
        </w:rPr>
        <w:t xml:space="preserve"> </w:t>
      </w:r>
      <w:r>
        <w:t xml:space="preserve">= 40°).  The </w:t>
      </w:r>
      <w:r w:rsidR="00904B63">
        <w:t xml:space="preserve">pile-soil spring </w:t>
      </w:r>
      <w:r>
        <w:t xml:space="preserve">values </w:t>
      </w:r>
      <w:r w:rsidR="00904B63">
        <w:t xml:space="preserve">corresponding to these </w:t>
      </w:r>
      <w:r>
        <w:t xml:space="preserve">three cases were shown previously in </w:t>
      </w:r>
      <w:r w:rsidR="00CD6D06">
        <w:fldChar w:fldCharType="begin"/>
      </w:r>
      <w:r>
        <w:instrText xml:space="preserve"> REF _Ref191627960 \h </w:instrText>
      </w:r>
      <w:r w:rsidR="00CD6D06">
        <w:fldChar w:fldCharType="separate"/>
      </w:r>
      <w:r w:rsidR="00EF3F11">
        <w:t xml:space="preserve">Table </w:t>
      </w:r>
      <w:r w:rsidR="00EF3F11">
        <w:rPr>
          <w:noProof/>
        </w:rPr>
        <w:t>5</w:t>
      </w:r>
      <w:r w:rsidR="00EF3F11">
        <w:t>.</w:t>
      </w:r>
      <w:r w:rsidR="00EF3F11">
        <w:rPr>
          <w:noProof/>
        </w:rPr>
        <w:t>1</w:t>
      </w:r>
      <w:r w:rsidR="00CD6D06">
        <w:fldChar w:fldCharType="end"/>
      </w:r>
      <w:r>
        <w:t xml:space="preserve">.    </w:t>
      </w:r>
    </w:p>
    <w:p w:rsidR="00EC5486" w:rsidRDefault="005D4792" w:rsidP="00374766">
      <w:pPr>
        <w:pStyle w:val="Heading3"/>
      </w:pPr>
      <w:bookmarkStart w:id="29" w:name="_Toc193615441"/>
      <w:r>
        <w:t>Series 2 – Backfill Stiffness</w:t>
      </w:r>
      <w:bookmarkEnd w:id="29"/>
    </w:p>
    <w:p w:rsidR="00374766" w:rsidRPr="00374766" w:rsidRDefault="00904B63" w:rsidP="003726ED">
      <w:pPr>
        <w:ind w:firstLine="576"/>
      </w:pPr>
      <w:r>
        <w:t>Models constructed for Series 2 included abutment-soil springs.  Lateral load resistance was p</w:t>
      </w:r>
      <w:r w:rsidR="000536DA">
        <w:t>rovided by the abutment-soil springs</w:t>
      </w:r>
      <w:r>
        <w:t>, foundation piles, and pile-soil springs.  For Series 2 the pile-soil spr</w:t>
      </w:r>
      <w:r w:rsidR="00434E6E">
        <w:t>ings values corresponding to a</w:t>
      </w:r>
      <w:r>
        <w:t xml:space="preserve"> medium soil stiffness (</w:t>
      </w:r>
      <w:r w:rsidRPr="00A34F88">
        <w:rPr>
          <w:i/>
        </w:rPr>
        <w:sym w:font="Symbol" w:char="F066"/>
      </w:r>
      <w:r>
        <w:rPr>
          <w:i/>
        </w:rPr>
        <w:t xml:space="preserve"> </w:t>
      </w:r>
      <w:r>
        <w:t>= 35°) were used.  The abutment-soil spring properties were derived using two approaches: (1) the displacement approach and (2) the stiffness approach.  These approaches were discussed previously</w:t>
      </w:r>
      <w:r w:rsidR="00434E6E">
        <w:t>,</w:t>
      </w:r>
      <w:r>
        <w:t xml:space="preserve"> and the abutment-soil spring parameters were shown in</w:t>
      </w:r>
      <w:r w:rsidR="003935C5">
        <w:t xml:space="preserve"> </w:t>
      </w:r>
      <w:r w:rsidR="00CD6D06">
        <w:fldChar w:fldCharType="begin"/>
      </w:r>
      <w:r w:rsidR="003935C5">
        <w:instrText xml:space="preserve"> REF _Ref193018014 \h </w:instrText>
      </w:r>
      <w:r w:rsidR="00CD6D06">
        <w:fldChar w:fldCharType="separate"/>
      </w:r>
      <w:r w:rsidR="00EF3F11">
        <w:t xml:space="preserve">Table </w:t>
      </w:r>
      <w:r w:rsidR="00EF3F11">
        <w:rPr>
          <w:noProof/>
        </w:rPr>
        <w:t>5</w:t>
      </w:r>
      <w:r w:rsidR="00EF3F11">
        <w:t>.</w:t>
      </w:r>
      <w:r w:rsidR="00EF3F11">
        <w:rPr>
          <w:noProof/>
        </w:rPr>
        <w:t>2</w:t>
      </w:r>
      <w:r w:rsidR="00CD6D06">
        <w:fldChar w:fldCharType="end"/>
      </w:r>
      <w:r>
        <w:t xml:space="preserve">.  </w:t>
      </w:r>
      <w:r w:rsidR="00BD5D59">
        <w:t xml:space="preserve">For the displacement approach a single value of </w:t>
      </w:r>
      <w:r w:rsidR="00BD5D59" w:rsidRPr="00BD5D59">
        <w:rPr>
          <w:rFonts w:ascii="Symbol" w:hAnsi="Symbol"/>
          <w:i/>
        </w:rPr>
        <w:t></w:t>
      </w:r>
      <w:r w:rsidR="00BD5D59" w:rsidRPr="00BD5D59">
        <w:rPr>
          <w:i/>
          <w:vertAlign w:val="subscript"/>
        </w:rPr>
        <w:t>u</w:t>
      </w:r>
      <w:r w:rsidR="00BD5D59" w:rsidRPr="00BD5D59">
        <w:rPr>
          <w:i/>
        </w:rPr>
        <w:t>/H</w:t>
      </w:r>
      <w:r w:rsidR="00BD5D59">
        <w:rPr>
          <w:i/>
        </w:rPr>
        <w:t xml:space="preserve"> </w:t>
      </w:r>
      <w:r w:rsidR="00BD5D59">
        <w:t xml:space="preserve">= 0.02 was used.  </w:t>
      </w:r>
      <w:r w:rsidR="000536DA">
        <w:t xml:space="preserve">For the stiffness approach, </w:t>
      </w:r>
      <w:r w:rsidR="00BD5D59">
        <w:t xml:space="preserve">three values of subgrade modulus were used: the measured value of 11,000 psf/in., one-half the measure value (5,500 psf/in.), and two times the measured value (22,000 psf/in.).  The three values of subgrade modulus were intended to evaluate the sensitivity of the response to this parameter.  </w:t>
      </w:r>
    </w:p>
    <w:p w:rsidR="005D4792" w:rsidRDefault="005D4792">
      <w:pPr>
        <w:spacing w:line="240" w:lineRule="auto"/>
      </w:pPr>
    </w:p>
    <w:p w:rsidR="005D4792" w:rsidRDefault="005D4792" w:rsidP="005D4792">
      <w:pPr>
        <w:pStyle w:val="Heading3"/>
      </w:pPr>
      <w:bookmarkStart w:id="30" w:name="_Toc193615442"/>
      <w:r>
        <w:t>Series 3 – Backfill Strength</w:t>
      </w:r>
      <w:bookmarkEnd w:id="30"/>
    </w:p>
    <w:p w:rsidR="005D4792" w:rsidRDefault="00BE2D81" w:rsidP="00BE2D81">
      <w:pPr>
        <w:ind w:firstLine="720"/>
      </w:pPr>
      <w:r>
        <w:t xml:space="preserve">Models constructed for Series 3 were intended to examine the effects of the ultimate strength, </w:t>
      </w:r>
      <w:r w:rsidRPr="00BE2D81">
        <w:rPr>
          <w:i/>
        </w:rPr>
        <w:t>P</w:t>
      </w:r>
      <w:r w:rsidRPr="00BE2D81">
        <w:rPr>
          <w:i/>
          <w:vertAlign w:val="subscript"/>
        </w:rPr>
        <w:t>max</w:t>
      </w:r>
      <w:r>
        <w:t>, of the backfill</w:t>
      </w:r>
      <w:r w:rsidR="00E11F4A">
        <w:t xml:space="preserve"> on abutment response</w:t>
      </w:r>
      <w:r>
        <w:t>.  For Series 3</w:t>
      </w:r>
      <w:r w:rsidR="00434E6E">
        <w:t>,</w:t>
      </w:r>
      <w:r>
        <w:t xml:space="preserve"> the soil-pile spring values corresponding </w:t>
      </w:r>
      <w:r w:rsidR="00434E6E">
        <w:t>to a</w:t>
      </w:r>
      <w:r w:rsidR="007109E8">
        <w:t xml:space="preserve"> </w:t>
      </w:r>
      <w:r>
        <w:t xml:space="preserve">medium </w:t>
      </w:r>
      <w:r w:rsidR="007109E8">
        <w:t>soil stiffness (</w:t>
      </w:r>
      <w:r w:rsidR="007109E8" w:rsidRPr="00A34F88">
        <w:rPr>
          <w:i/>
        </w:rPr>
        <w:sym w:font="Symbol" w:char="F066"/>
      </w:r>
      <w:r w:rsidR="007109E8">
        <w:rPr>
          <w:i/>
        </w:rPr>
        <w:t xml:space="preserve"> </w:t>
      </w:r>
      <w:r w:rsidR="007109E8">
        <w:t>= 35°) were used.</w:t>
      </w:r>
      <w:r>
        <w:t xml:space="preserve"> </w:t>
      </w:r>
      <w:r w:rsidR="00434E6E">
        <w:t xml:space="preserve"> </w:t>
      </w:r>
      <w:r w:rsidR="007109E8">
        <w:t xml:space="preserve">The soil-abutment spring stiffnesses used in Series 3 correspond to the case where </w:t>
      </w:r>
      <w:r w:rsidR="007109E8" w:rsidRPr="007109E8">
        <w:rPr>
          <w:i/>
        </w:rPr>
        <w:t>n</w:t>
      </w:r>
      <w:r w:rsidR="007109E8" w:rsidRPr="007109E8">
        <w:rPr>
          <w:i/>
          <w:vertAlign w:val="subscript"/>
        </w:rPr>
        <w:t>h</w:t>
      </w:r>
      <w:r w:rsidR="007109E8">
        <w:t xml:space="preserve"> = 11,000 psf/in.  Two cases of ultimate backfill strength were used: one-half of the ultimate value computed by th</w:t>
      </w:r>
      <w:r w:rsidR="00434E6E">
        <w:t>e Rankine earth pressure theory</w:t>
      </w:r>
      <w:r w:rsidR="007109E8">
        <w:t xml:space="preserve"> and two times the value computed by the Rankine earth pressure theory</w:t>
      </w:r>
      <w:r w:rsidR="002A13EF">
        <w:t xml:space="preserve"> (</w:t>
      </w:r>
      <w:r w:rsidR="00CD6D06">
        <w:fldChar w:fldCharType="begin"/>
      </w:r>
      <w:r w:rsidR="002A13EF">
        <w:instrText xml:space="preserve"> REF _Ref193018014 \h </w:instrText>
      </w:r>
      <w:r w:rsidR="00CD6D06">
        <w:fldChar w:fldCharType="separate"/>
      </w:r>
      <w:r w:rsidR="00EF3F11">
        <w:t xml:space="preserve">Table </w:t>
      </w:r>
      <w:r w:rsidR="00EF3F11">
        <w:rPr>
          <w:noProof/>
        </w:rPr>
        <w:t>5</w:t>
      </w:r>
      <w:r w:rsidR="00EF3F11">
        <w:t>.</w:t>
      </w:r>
      <w:r w:rsidR="00EF3F11">
        <w:rPr>
          <w:noProof/>
        </w:rPr>
        <w:t>2</w:t>
      </w:r>
      <w:r w:rsidR="00CD6D06">
        <w:fldChar w:fldCharType="end"/>
      </w:r>
      <w:r w:rsidR="002A13EF">
        <w:t>)</w:t>
      </w:r>
      <w:r w:rsidR="007109E8">
        <w:t xml:space="preserve">.  </w:t>
      </w:r>
    </w:p>
    <w:p w:rsidR="005D4792" w:rsidRDefault="005D4792" w:rsidP="005D4792">
      <w:pPr>
        <w:pStyle w:val="Heading3"/>
      </w:pPr>
      <w:bookmarkStart w:id="31" w:name="_Toc193615443"/>
      <w:r>
        <w:lastRenderedPageBreak/>
        <w:t>Series 4 – Span Length</w:t>
      </w:r>
      <w:bookmarkEnd w:id="31"/>
    </w:p>
    <w:p w:rsidR="005D4792" w:rsidRPr="005D4792" w:rsidRDefault="00E11F4A" w:rsidP="00C81704">
      <w:pPr>
        <w:ind w:firstLine="720"/>
      </w:pPr>
      <w:r>
        <w:t xml:space="preserve">Models constructed for Series 4 were intended to examine the effects of span length on the abutment response.  The span lengths used in </w:t>
      </w:r>
      <w:r w:rsidR="002A13EF">
        <w:t xml:space="preserve">the </w:t>
      </w:r>
      <w:r>
        <w:t xml:space="preserve">other analysis series </w:t>
      </w:r>
      <w:r w:rsidR="00563C25">
        <w:t xml:space="preserve">are shown </w:t>
      </w:r>
      <w:r>
        <w:t xml:space="preserve">in </w:t>
      </w:r>
      <w:r w:rsidR="00CD6D06">
        <w:fldChar w:fldCharType="begin"/>
      </w:r>
      <w:r>
        <w:instrText xml:space="preserve"> REF _Ref191547880 \h </w:instrText>
      </w:r>
      <w:r w:rsidR="00CD6D06">
        <w:fldChar w:fldCharType="separate"/>
      </w:r>
      <w:r w:rsidR="00EF3F11">
        <w:t xml:space="preserve">Figure </w:t>
      </w:r>
      <w:r w:rsidR="00EF3F11">
        <w:rPr>
          <w:noProof/>
        </w:rPr>
        <w:t>5</w:t>
      </w:r>
      <w:r w:rsidR="00EF3F11">
        <w:t>.</w:t>
      </w:r>
      <w:r w:rsidR="00EF3F11">
        <w:rPr>
          <w:noProof/>
        </w:rPr>
        <w:t>2</w:t>
      </w:r>
      <w:r w:rsidR="00CD6D06">
        <w:fldChar w:fldCharType="end"/>
      </w:r>
      <w:r w:rsidR="00563C25">
        <w:t>.  For Series 4, all models have 100 ft span lengths.  Pile-soil spring parameters correspond to the medium soil stiffness case (</w:t>
      </w:r>
      <w:r w:rsidR="00563C25" w:rsidRPr="00A34F88">
        <w:rPr>
          <w:i/>
        </w:rPr>
        <w:sym w:font="Symbol" w:char="F066"/>
      </w:r>
      <w:r w:rsidR="00563C25">
        <w:rPr>
          <w:i/>
        </w:rPr>
        <w:t xml:space="preserve"> </w:t>
      </w:r>
      <w:r w:rsidR="00563C25">
        <w:t xml:space="preserve">= 35°).  Abutment-soil springs correspond to the stiffness approach where </w:t>
      </w:r>
      <w:r w:rsidR="00563C25" w:rsidRPr="00563C25">
        <w:rPr>
          <w:i/>
        </w:rPr>
        <w:t>n</w:t>
      </w:r>
      <w:r w:rsidR="00563C25" w:rsidRPr="00563C25">
        <w:rPr>
          <w:i/>
          <w:vertAlign w:val="subscript"/>
        </w:rPr>
        <w:t>h</w:t>
      </w:r>
      <w:r w:rsidR="00563C25">
        <w:t xml:space="preserve"> = 11,000 psf/in and </w:t>
      </w:r>
      <w:r w:rsidR="00563C25" w:rsidRPr="00563C25">
        <w:rPr>
          <w:i/>
        </w:rPr>
        <w:t>P</w:t>
      </w:r>
      <w:r w:rsidR="00563C25" w:rsidRPr="00563C25">
        <w:rPr>
          <w:i/>
          <w:vertAlign w:val="subscript"/>
        </w:rPr>
        <w:t>max</w:t>
      </w:r>
      <w:r w:rsidR="00563C25">
        <w:t xml:space="preserve"> is computed using the </w:t>
      </w:r>
      <w:r w:rsidR="00434E6E">
        <w:t xml:space="preserve">Rankine earth pressure theory. </w:t>
      </w:r>
    </w:p>
    <w:p w:rsidR="005D4792" w:rsidRDefault="005D4792" w:rsidP="00C81704">
      <w:pPr>
        <w:pStyle w:val="Heading3"/>
      </w:pPr>
      <w:bookmarkStart w:id="32" w:name="_Toc193615444"/>
      <w:r>
        <w:t>Series 5 – Pin Detail</w:t>
      </w:r>
      <w:bookmarkEnd w:id="32"/>
    </w:p>
    <w:p w:rsidR="00C81704" w:rsidRPr="005D4792" w:rsidRDefault="002A13EF" w:rsidP="00C81704">
      <w:pPr>
        <w:ind w:firstLine="720"/>
      </w:pPr>
      <w:r>
        <w:t>Models constructed for S</w:t>
      </w:r>
      <w:r w:rsidR="00C81704">
        <w:t>eries 5 were intended to evaluate the effects of the “pin” detail, discussed Chapter 4, on abutment response.  The pin was modeled as a moment release in the pile-element which connects to the abutment resulting in zero-moment at the joint where the abutment and pile elements meet.  Pile-soil spring parameters correspond to the medium soil stiffness case (</w:t>
      </w:r>
      <w:r w:rsidR="00C81704" w:rsidRPr="00A34F88">
        <w:rPr>
          <w:i/>
        </w:rPr>
        <w:sym w:font="Symbol" w:char="F066"/>
      </w:r>
      <w:r w:rsidR="00C81704">
        <w:rPr>
          <w:i/>
        </w:rPr>
        <w:t xml:space="preserve"> </w:t>
      </w:r>
      <w:r w:rsidR="00C81704">
        <w:t xml:space="preserve">= 35°).  Abutment-soil springs correspond to the stiffness approach where </w:t>
      </w:r>
      <w:r w:rsidR="00C81704" w:rsidRPr="00563C25">
        <w:rPr>
          <w:i/>
        </w:rPr>
        <w:t>n</w:t>
      </w:r>
      <w:r w:rsidR="00C81704" w:rsidRPr="00563C25">
        <w:rPr>
          <w:i/>
          <w:vertAlign w:val="subscript"/>
        </w:rPr>
        <w:t>h</w:t>
      </w:r>
      <w:r w:rsidR="00C81704">
        <w:t xml:space="preserve"> = 11,000 psf/in and </w:t>
      </w:r>
      <w:r w:rsidR="00C81704" w:rsidRPr="00563C25">
        <w:rPr>
          <w:i/>
        </w:rPr>
        <w:t>P</w:t>
      </w:r>
      <w:r w:rsidR="00C81704" w:rsidRPr="00563C25">
        <w:rPr>
          <w:i/>
          <w:vertAlign w:val="subscript"/>
        </w:rPr>
        <w:t>max</w:t>
      </w:r>
      <w:r w:rsidR="00C81704">
        <w:t xml:space="preserve"> is computed using the Rankine earth pressure theory.  </w:t>
      </w:r>
    </w:p>
    <w:p w:rsidR="00C81704" w:rsidRPr="00C81704" w:rsidRDefault="00C81704" w:rsidP="00C81704"/>
    <w:p w:rsidR="007F62F9" w:rsidRDefault="007F62F9" w:rsidP="005D4792">
      <w:pPr>
        <w:pStyle w:val="Heading3"/>
        <w:numPr>
          <w:ilvl w:val="0"/>
          <w:numId w:val="0"/>
        </w:numPr>
      </w:pPr>
      <w:r>
        <w:br w:type="page"/>
      </w:r>
    </w:p>
    <w:p w:rsidR="007F62F9" w:rsidRDefault="007F62F9" w:rsidP="007F62F9">
      <w:pPr>
        <w:pStyle w:val="Caption"/>
      </w:pPr>
      <w:bookmarkStart w:id="33" w:name="_Ref193016501"/>
      <w:bookmarkStart w:id="34" w:name="_Toc193615470"/>
      <w:r>
        <w:lastRenderedPageBreak/>
        <w:t xml:space="preserve">Table </w:t>
      </w:r>
      <w:fldSimple w:instr=" STYLEREF 1 \s ">
        <w:r w:rsidR="00EF3F11">
          <w:rPr>
            <w:noProof/>
          </w:rPr>
          <w:t>5</w:t>
        </w:r>
      </w:fldSimple>
      <w:r w:rsidR="00192D28">
        <w:t>.</w:t>
      </w:r>
      <w:fldSimple w:instr=" SEQ Table \* ARABIC \s 1 ">
        <w:r w:rsidR="00EF3F11">
          <w:rPr>
            <w:noProof/>
          </w:rPr>
          <w:t>3</w:t>
        </w:r>
      </w:fldSimple>
      <w:bookmarkEnd w:id="33"/>
      <w:r>
        <w:t>: Analysis Cases</w:t>
      </w:r>
      <w:bookmarkEnd w:id="34"/>
    </w:p>
    <w:p w:rsidR="007F62F9" w:rsidRDefault="00EF393E" w:rsidP="007F62F9">
      <w:pPr>
        <w:spacing w:line="240" w:lineRule="auto"/>
        <w:jc w:val="center"/>
      </w:pPr>
      <w:r w:rsidRPr="00EF393E">
        <w:rPr>
          <w:noProof/>
        </w:rPr>
        <w:drawing>
          <wp:inline distT="0" distB="0" distL="0" distR="0">
            <wp:extent cx="3922395" cy="6572885"/>
            <wp:effectExtent l="19050" t="0" r="190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3922395" cy="6572885"/>
                    </a:xfrm>
                    <a:prstGeom prst="rect">
                      <a:avLst/>
                    </a:prstGeom>
                    <a:noFill/>
                    <a:ln w="9525">
                      <a:noFill/>
                      <a:miter lim="800000"/>
                      <a:headEnd/>
                      <a:tailEnd/>
                    </a:ln>
                  </pic:spPr>
                </pic:pic>
              </a:graphicData>
            </a:graphic>
          </wp:inline>
        </w:drawing>
      </w:r>
    </w:p>
    <w:p w:rsidR="007F62F9" w:rsidRDefault="007F62F9">
      <w:pPr>
        <w:spacing w:line="240" w:lineRule="auto"/>
      </w:pPr>
      <w:r>
        <w:br w:type="page"/>
      </w:r>
    </w:p>
    <w:p w:rsidR="00600BC7" w:rsidRPr="00600BC7" w:rsidRDefault="00192D28" w:rsidP="00600BC7">
      <w:pPr>
        <w:jc w:val="center"/>
        <w:rPr>
          <w:b/>
        </w:rPr>
      </w:pPr>
      <w:r>
        <w:rPr>
          <w:b/>
        </w:rPr>
        <w:lastRenderedPageBreak/>
        <w:t>Table 5.</w:t>
      </w:r>
      <w:r w:rsidR="00600BC7" w:rsidRPr="00600BC7">
        <w:rPr>
          <w:b/>
        </w:rPr>
        <w:t>3 (continued): Analysis Cases</w:t>
      </w:r>
    </w:p>
    <w:p w:rsidR="005F651B" w:rsidRDefault="00DE0347" w:rsidP="007F62F9">
      <w:pPr>
        <w:spacing w:line="240" w:lineRule="auto"/>
        <w:jc w:val="center"/>
        <w:rPr>
          <w:rFonts w:cs="Arial"/>
          <w:b/>
          <w:bCs/>
          <w:iCs/>
          <w:u w:val="single"/>
        </w:rPr>
      </w:pPr>
      <w:r w:rsidRPr="00DE0347">
        <w:rPr>
          <w:noProof/>
        </w:rPr>
        <w:drawing>
          <wp:inline distT="0" distB="0" distL="0" distR="0">
            <wp:extent cx="3922395" cy="5552440"/>
            <wp:effectExtent l="19050" t="0" r="1905"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3922395" cy="5552440"/>
                    </a:xfrm>
                    <a:prstGeom prst="rect">
                      <a:avLst/>
                    </a:prstGeom>
                    <a:noFill/>
                    <a:ln w="9525">
                      <a:noFill/>
                      <a:miter lim="800000"/>
                      <a:headEnd/>
                      <a:tailEnd/>
                    </a:ln>
                  </pic:spPr>
                </pic:pic>
              </a:graphicData>
            </a:graphic>
          </wp:inline>
        </w:drawing>
      </w:r>
      <w:r w:rsidR="005F651B">
        <w:br w:type="page"/>
      </w:r>
    </w:p>
    <w:p w:rsidR="0068293A" w:rsidRDefault="0068293A" w:rsidP="0068293A">
      <w:pPr>
        <w:pStyle w:val="Heading2"/>
      </w:pPr>
      <w:bookmarkStart w:id="35" w:name="_Toc193615445"/>
      <w:r>
        <w:lastRenderedPageBreak/>
        <w:t>Results</w:t>
      </w:r>
      <w:bookmarkEnd w:id="35"/>
    </w:p>
    <w:p w:rsidR="00D2144A" w:rsidRDefault="00D2144A" w:rsidP="00D13C98">
      <w:pPr>
        <w:ind w:firstLine="576"/>
      </w:pPr>
      <w:r>
        <w:t xml:space="preserve">The fundamental period of vibration of the analytical models were computed. </w:t>
      </w:r>
      <w:r w:rsidR="00CD6D06">
        <w:fldChar w:fldCharType="begin"/>
      </w:r>
      <w:r w:rsidR="00E741BD">
        <w:instrText xml:space="preserve"> REF _Ref196195088 \h </w:instrText>
      </w:r>
      <w:r w:rsidR="00CD6D06">
        <w:fldChar w:fldCharType="separate"/>
      </w:r>
      <w:r w:rsidR="00EF3F11">
        <w:t xml:space="preserve">Figure </w:t>
      </w:r>
      <w:r w:rsidR="00EF3F11">
        <w:rPr>
          <w:noProof/>
        </w:rPr>
        <w:t>5</w:t>
      </w:r>
      <w:r w:rsidR="00EF3F11">
        <w:t>.</w:t>
      </w:r>
      <w:r w:rsidR="00EF3F11">
        <w:rPr>
          <w:noProof/>
        </w:rPr>
        <w:t>7</w:t>
      </w:r>
      <w:r w:rsidR="00CD6D06">
        <w:fldChar w:fldCharType="end"/>
      </w:r>
      <w:r w:rsidR="00E741BD">
        <w:t xml:space="preserve"> shows the variation of fundamental period with bridge length and backfill stiffness.  The values of fundamental period shown in </w:t>
      </w:r>
      <w:r w:rsidR="00CD6D06">
        <w:fldChar w:fldCharType="begin"/>
      </w:r>
      <w:r w:rsidR="00E741BD">
        <w:instrText xml:space="preserve"> REF _Ref196195088 \h </w:instrText>
      </w:r>
      <w:r w:rsidR="00CD6D06">
        <w:fldChar w:fldCharType="separate"/>
      </w:r>
      <w:r w:rsidR="00EF3F11">
        <w:t xml:space="preserve">Figure </w:t>
      </w:r>
      <w:r w:rsidR="00EF3F11">
        <w:rPr>
          <w:noProof/>
        </w:rPr>
        <w:t>5</w:t>
      </w:r>
      <w:r w:rsidR="00EF3F11">
        <w:t>.</w:t>
      </w:r>
      <w:r w:rsidR="00EF3F11">
        <w:rPr>
          <w:noProof/>
        </w:rPr>
        <w:t>7</w:t>
      </w:r>
      <w:r w:rsidR="00CD6D06">
        <w:fldChar w:fldCharType="end"/>
      </w:r>
      <w:r w:rsidR="00E741BD">
        <w:t xml:space="preserve"> are based on a linear elastic analysis and do </w:t>
      </w:r>
      <w:r>
        <w:t xml:space="preserve">not reflect the effects the nonlinearity of the soil springs.  </w:t>
      </w:r>
      <w:r w:rsidR="002220E7">
        <w:t xml:space="preserve">The design displacement spectra were computed for Evansville, IN and are presented in </w:t>
      </w:r>
      <w:r w:rsidR="00CD6D06">
        <w:fldChar w:fldCharType="begin"/>
      </w:r>
      <w:r w:rsidR="002220E7">
        <w:instrText xml:space="preserve"> REF _Ref196196373 \h </w:instrText>
      </w:r>
      <w:r w:rsidR="00CD6D06">
        <w:fldChar w:fldCharType="separate"/>
      </w:r>
      <w:r w:rsidR="00EF3F11">
        <w:t xml:space="preserve">Figure </w:t>
      </w:r>
      <w:r w:rsidR="00EF3F11">
        <w:rPr>
          <w:noProof/>
        </w:rPr>
        <w:t>5</w:t>
      </w:r>
      <w:r w:rsidR="00EF3F11">
        <w:t>.</w:t>
      </w:r>
      <w:r w:rsidR="00EF3F11">
        <w:rPr>
          <w:noProof/>
        </w:rPr>
        <w:t>8</w:t>
      </w:r>
      <w:r w:rsidR="00CD6D06">
        <w:fldChar w:fldCharType="end"/>
      </w:r>
      <w:r w:rsidR="002220E7">
        <w:t xml:space="preserve">.  </w:t>
      </w:r>
      <w:r w:rsidR="00CD6D06">
        <w:fldChar w:fldCharType="begin"/>
      </w:r>
      <w:r w:rsidR="002220E7">
        <w:instrText xml:space="preserve"> REF _Ref196195088 \h </w:instrText>
      </w:r>
      <w:r w:rsidR="00CD6D06">
        <w:fldChar w:fldCharType="separate"/>
      </w:r>
      <w:r w:rsidR="00EF3F11">
        <w:t xml:space="preserve">Figure </w:t>
      </w:r>
      <w:r w:rsidR="00EF3F11">
        <w:rPr>
          <w:noProof/>
        </w:rPr>
        <w:t>5</w:t>
      </w:r>
      <w:r w:rsidR="00EF3F11">
        <w:t>.</w:t>
      </w:r>
      <w:r w:rsidR="00EF3F11">
        <w:rPr>
          <w:noProof/>
        </w:rPr>
        <w:t>7</w:t>
      </w:r>
      <w:r w:rsidR="00CD6D06">
        <w:fldChar w:fldCharType="end"/>
      </w:r>
      <w:r w:rsidR="002220E7">
        <w:t xml:space="preserve"> and </w:t>
      </w:r>
      <w:r w:rsidR="00CD6D06">
        <w:fldChar w:fldCharType="begin"/>
      </w:r>
      <w:r w:rsidR="002220E7">
        <w:instrText xml:space="preserve"> REF _Ref196196373 \h </w:instrText>
      </w:r>
      <w:r w:rsidR="00CD6D06">
        <w:fldChar w:fldCharType="separate"/>
      </w:r>
      <w:r w:rsidR="00EF3F11">
        <w:t xml:space="preserve">Figure </w:t>
      </w:r>
      <w:r w:rsidR="00EF3F11">
        <w:rPr>
          <w:noProof/>
        </w:rPr>
        <w:t>5</w:t>
      </w:r>
      <w:r w:rsidR="00EF3F11">
        <w:t>.</w:t>
      </w:r>
      <w:r w:rsidR="00EF3F11">
        <w:rPr>
          <w:noProof/>
        </w:rPr>
        <w:t>8</w:t>
      </w:r>
      <w:r w:rsidR="00CD6D06">
        <w:fldChar w:fldCharType="end"/>
      </w:r>
      <w:r w:rsidR="002220E7">
        <w:t xml:space="preserve"> may be used to roughly estimate the displacement of the abutment.  It can be seen that, in the absence of backfill resistance, the fundamental period ranges from approximately 0.4 – 1.4 sec corresponding to an MCE d</w:t>
      </w:r>
      <w:r w:rsidR="00E05E23">
        <w:t>isplacement of approximately 2-6</w:t>
      </w:r>
      <w:r w:rsidR="002220E7">
        <w:t xml:space="preserve"> in.  It may also be seen that, incorporating backfill resistance, </w:t>
      </w:r>
      <w:r w:rsidR="00E05E23">
        <w:t xml:space="preserve">the fundamental period ranges from approximately 0.2 – 0.8 sec corresponding to an MCE displacement of approximately 0.5 – 3.5 in.  Further, using the observed value of backfill stiffness (11,000 psf/in.), the fundamental period ranges from approximately 0.2 – 0.5 sec corresponding to an MCE displacement of approximately 0.2 – 2 in.  These displacement values are rough estimates assuming an elastic response.  </w:t>
      </w:r>
      <w:r w:rsidR="00BF74A0">
        <w:t xml:space="preserve">Inelasticity would be expected to lengthen the period.  </w:t>
      </w:r>
      <w:r w:rsidR="00E05E23">
        <w:t xml:space="preserve">The computed displacements </w:t>
      </w:r>
      <w:r w:rsidR="00BF74A0">
        <w:t xml:space="preserve">considering inelastic response </w:t>
      </w:r>
      <w:r w:rsidR="00E05E23">
        <w:t>are presented in the following sections</w:t>
      </w:r>
      <w:r w:rsidR="00BF74A0">
        <w:t>.</w:t>
      </w:r>
      <w:r w:rsidR="00E05E23">
        <w:t xml:space="preserve"> </w:t>
      </w:r>
    </w:p>
    <w:p w:rsidR="00480AEF" w:rsidRDefault="00E05E23" w:rsidP="00D13C98">
      <w:pPr>
        <w:ind w:firstLine="576"/>
      </w:pPr>
      <w:r>
        <w:t>Only</w:t>
      </w:r>
      <w:r w:rsidR="00D2144A">
        <w:t xml:space="preserve"> maximum displacements of the abutments are presented in </w:t>
      </w:r>
      <w:r>
        <w:t>this study</w:t>
      </w:r>
      <w:r w:rsidR="00D2144A">
        <w:t xml:space="preserve">.  </w:t>
      </w:r>
      <w:r w:rsidR="00D13C98">
        <w:t xml:space="preserve">The displacement values reported refer to the </w:t>
      </w:r>
      <w:r w:rsidR="00012E6A">
        <w:t xml:space="preserve">lateral displacements of the abutment at the </w:t>
      </w:r>
      <w:r w:rsidR="00D13C98">
        <w:t xml:space="preserve">location of abutment-pile connection.  These displacements may be directly compared to the results of the laboratory investigation.  </w:t>
      </w:r>
      <w:r w:rsidR="00012E6A">
        <w:t>N</w:t>
      </w:r>
      <w:r w:rsidR="00192D28">
        <w:t xml:space="preserve">umerical results are given in </w:t>
      </w:r>
      <w:r w:rsidR="00CD6D06">
        <w:fldChar w:fldCharType="begin"/>
      </w:r>
      <w:r w:rsidR="00192D28">
        <w:instrText xml:space="preserve"> REF _Ref191743237 \h </w:instrText>
      </w:r>
      <w:r w:rsidR="00CD6D06">
        <w:fldChar w:fldCharType="separate"/>
      </w:r>
      <w:r w:rsidR="00EF3F11">
        <w:t xml:space="preserve">Table </w:t>
      </w:r>
      <w:r w:rsidR="00EF3F11">
        <w:rPr>
          <w:noProof/>
        </w:rPr>
        <w:t>5</w:t>
      </w:r>
      <w:r w:rsidR="00EF3F11">
        <w:t>.</w:t>
      </w:r>
      <w:r w:rsidR="00EF3F11">
        <w:rPr>
          <w:noProof/>
        </w:rPr>
        <w:t>4</w:t>
      </w:r>
      <w:r w:rsidR="00CD6D06">
        <w:fldChar w:fldCharType="end"/>
      </w:r>
      <w:r w:rsidR="00192D28">
        <w:t xml:space="preserve"> - </w:t>
      </w:r>
      <w:r w:rsidR="00CD6D06">
        <w:fldChar w:fldCharType="begin"/>
      </w:r>
      <w:r w:rsidR="00192D28">
        <w:instrText xml:space="preserve"> REF _Ref193017668 \h </w:instrText>
      </w:r>
      <w:r w:rsidR="00CD6D06">
        <w:fldChar w:fldCharType="separate"/>
      </w:r>
      <w:r w:rsidR="00EF3F11">
        <w:t xml:space="preserve">Table </w:t>
      </w:r>
      <w:r w:rsidR="00EF3F11">
        <w:rPr>
          <w:noProof/>
        </w:rPr>
        <w:t>5</w:t>
      </w:r>
      <w:r w:rsidR="00EF3F11">
        <w:t>.</w:t>
      </w:r>
      <w:r w:rsidR="00EF3F11">
        <w:rPr>
          <w:noProof/>
        </w:rPr>
        <w:t>8</w:t>
      </w:r>
      <w:r w:rsidR="00CD6D06">
        <w:fldChar w:fldCharType="end"/>
      </w:r>
      <w:r w:rsidR="00192D28">
        <w:t>.</w:t>
      </w:r>
      <w:r w:rsidR="00012E6A">
        <w:t xml:space="preserve">  </w:t>
      </w:r>
      <w:r w:rsidR="009626C5">
        <w:t xml:space="preserve">The event numbers shown in the tables correspond to those listed in Table 2.2.  The values of average maximum displacements were tabulated separately for Eastern and Western U.S. ground motions.  </w:t>
      </w:r>
      <w:r w:rsidR="00BF74A0">
        <w:t xml:space="preserve">It should be noted that for the Eastern records, only the Saguenay event was scaled as discussed previously in Chapter 2.  </w:t>
      </w:r>
      <w:r w:rsidR="009626C5">
        <w:t>The average maximum displacement values are presented g</w:t>
      </w:r>
      <w:r w:rsidR="00012E6A">
        <w:t>raphical</w:t>
      </w:r>
      <w:r w:rsidR="009626C5">
        <w:t xml:space="preserve">ly </w:t>
      </w:r>
      <w:r w:rsidR="00012E6A">
        <w:t xml:space="preserve">in </w:t>
      </w:r>
      <w:r w:rsidR="00CD6D06">
        <w:fldChar w:fldCharType="begin"/>
      </w:r>
      <w:r w:rsidR="00012E6A">
        <w:instrText xml:space="preserve"> REF _Ref191743476 \h </w:instrText>
      </w:r>
      <w:r w:rsidR="00CD6D06">
        <w:fldChar w:fldCharType="separate"/>
      </w:r>
      <w:r w:rsidR="00EF3F11">
        <w:t xml:space="preserve">Figure </w:t>
      </w:r>
      <w:r w:rsidR="00EF3F11">
        <w:rPr>
          <w:noProof/>
        </w:rPr>
        <w:t>5</w:t>
      </w:r>
      <w:r w:rsidR="00EF3F11">
        <w:t>.</w:t>
      </w:r>
      <w:r w:rsidR="00EF3F11">
        <w:rPr>
          <w:noProof/>
        </w:rPr>
        <w:t>9</w:t>
      </w:r>
      <w:r w:rsidR="00CD6D06">
        <w:fldChar w:fldCharType="end"/>
      </w:r>
      <w:r w:rsidR="00012E6A">
        <w:t xml:space="preserve"> - </w:t>
      </w:r>
      <w:r w:rsidR="00CD6D06">
        <w:fldChar w:fldCharType="begin"/>
      </w:r>
      <w:r w:rsidR="00012E6A">
        <w:instrText xml:space="preserve"> REF _Ref193018142 \h </w:instrText>
      </w:r>
      <w:r w:rsidR="00CD6D06">
        <w:fldChar w:fldCharType="separate"/>
      </w:r>
      <w:r w:rsidR="00EF3F11">
        <w:t xml:space="preserve">Figure </w:t>
      </w:r>
      <w:r w:rsidR="00EF3F11">
        <w:rPr>
          <w:noProof/>
        </w:rPr>
        <w:t>5</w:t>
      </w:r>
      <w:r w:rsidR="00EF3F11">
        <w:t>.</w:t>
      </w:r>
      <w:r w:rsidR="00EF3F11">
        <w:rPr>
          <w:noProof/>
        </w:rPr>
        <w:t>13</w:t>
      </w:r>
      <w:r w:rsidR="00CD6D06">
        <w:fldChar w:fldCharType="end"/>
      </w:r>
      <w:r w:rsidR="00012E6A">
        <w:t xml:space="preserve">.  </w:t>
      </w:r>
    </w:p>
    <w:p w:rsidR="002220E7" w:rsidRDefault="002220E7">
      <w:pPr>
        <w:spacing w:line="240" w:lineRule="auto"/>
      </w:pPr>
      <w:r>
        <w:br w:type="page"/>
      </w:r>
    </w:p>
    <w:p w:rsidR="00E741BD" w:rsidRDefault="00E741BD" w:rsidP="00E741BD">
      <w:pPr>
        <w:jc w:val="center"/>
      </w:pPr>
      <w:r w:rsidRPr="00E741BD">
        <w:rPr>
          <w:noProof/>
        </w:rPr>
        <w:lastRenderedPageBreak/>
        <w:drawing>
          <wp:inline distT="0" distB="0" distL="0" distR="0">
            <wp:extent cx="4162793" cy="2930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4162793" cy="2930238"/>
                    </a:xfrm>
                    <a:prstGeom prst="rect">
                      <a:avLst/>
                    </a:prstGeom>
                    <a:noFill/>
                    <a:ln w="9525">
                      <a:noFill/>
                      <a:miter lim="800000"/>
                      <a:headEnd/>
                      <a:tailEnd/>
                    </a:ln>
                  </pic:spPr>
                </pic:pic>
              </a:graphicData>
            </a:graphic>
          </wp:inline>
        </w:drawing>
      </w:r>
    </w:p>
    <w:p w:rsidR="00E741BD" w:rsidRDefault="00E741BD" w:rsidP="00E741BD">
      <w:pPr>
        <w:jc w:val="center"/>
      </w:pPr>
    </w:p>
    <w:p w:rsidR="00E741BD" w:rsidRDefault="00E741BD" w:rsidP="002220E7">
      <w:pPr>
        <w:pStyle w:val="Caption"/>
      </w:pPr>
      <w:bookmarkStart w:id="36" w:name="_Ref196195088"/>
      <w:r>
        <w:t xml:space="preserve">Figure </w:t>
      </w:r>
      <w:fldSimple w:instr=" STYLEREF 1 \s ">
        <w:r w:rsidR="00EF3F11">
          <w:rPr>
            <w:noProof/>
          </w:rPr>
          <w:t>5</w:t>
        </w:r>
      </w:fldSimple>
      <w:r w:rsidR="00630774">
        <w:t>.</w:t>
      </w:r>
      <w:fldSimple w:instr=" SEQ Figure \* ARABIC \s 1 ">
        <w:r w:rsidR="00EF3F11">
          <w:rPr>
            <w:noProof/>
          </w:rPr>
          <w:t>7</w:t>
        </w:r>
      </w:fldSimple>
      <w:bookmarkEnd w:id="36"/>
      <w:r>
        <w:t>: Fundamental Period of Vibration for various Bridge Lengths</w:t>
      </w:r>
    </w:p>
    <w:p w:rsidR="002220E7" w:rsidRPr="002220E7" w:rsidRDefault="002220E7" w:rsidP="002220E7"/>
    <w:p w:rsidR="002220E7" w:rsidRDefault="002220E7" w:rsidP="00D13C98">
      <w:pPr>
        <w:ind w:firstLine="576"/>
      </w:pPr>
      <w:r w:rsidRPr="002220E7">
        <w:rPr>
          <w:noProof/>
        </w:rPr>
        <w:drawing>
          <wp:inline distT="0" distB="0" distL="0" distR="0">
            <wp:extent cx="4273687" cy="3656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4273687" cy="3656390"/>
                    </a:xfrm>
                    <a:prstGeom prst="rect">
                      <a:avLst/>
                    </a:prstGeom>
                    <a:noFill/>
                    <a:ln w="9525">
                      <a:noFill/>
                      <a:miter lim="800000"/>
                      <a:headEnd/>
                      <a:tailEnd/>
                    </a:ln>
                  </pic:spPr>
                </pic:pic>
              </a:graphicData>
            </a:graphic>
          </wp:inline>
        </w:drawing>
      </w:r>
    </w:p>
    <w:p w:rsidR="002220E7" w:rsidRDefault="002220E7" w:rsidP="002220E7"/>
    <w:p w:rsidR="002220E7" w:rsidRDefault="002220E7" w:rsidP="002220E7">
      <w:pPr>
        <w:pStyle w:val="Caption"/>
      </w:pPr>
      <w:bookmarkStart w:id="37" w:name="_Ref196196373"/>
      <w:r>
        <w:t xml:space="preserve">Figure </w:t>
      </w:r>
      <w:fldSimple w:instr=" STYLEREF 1 \s ">
        <w:r w:rsidR="00EF3F11">
          <w:rPr>
            <w:noProof/>
          </w:rPr>
          <w:t>5</w:t>
        </w:r>
      </w:fldSimple>
      <w:r w:rsidR="00630774">
        <w:t>.</w:t>
      </w:r>
      <w:fldSimple w:instr=" SEQ Figure \* ARABIC \s 1 ">
        <w:r w:rsidR="00EF3F11">
          <w:rPr>
            <w:noProof/>
          </w:rPr>
          <w:t>8</w:t>
        </w:r>
      </w:fldSimple>
      <w:bookmarkEnd w:id="37"/>
      <w:r>
        <w:t>: Evansville Design Displacement Spectra</w:t>
      </w:r>
    </w:p>
    <w:p w:rsidR="00480AEF" w:rsidRDefault="00374766" w:rsidP="00480AEF">
      <w:pPr>
        <w:pStyle w:val="Heading3"/>
      </w:pPr>
      <w:bookmarkStart w:id="38" w:name="_Toc193615446"/>
      <w:r>
        <w:lastRenderedPageBreak/>
        <w:t>Series 1 – No Backfill Resistance</w:t>
      </w:r>
      <w:bookmarkEnd w:id="38"/>
    </w:p>
    <w:p w:rsidR="009E6A5C" w:rsidRDefault="00D13C98" w:rsidP="00B533F1">
      <w:pPr>
        <w:ind w:firstLine="720"/>
      </w:pPr>
      <w:r>
        <w:t xml:space="preserve">The numerical results of the Series 1 models are presented in </w:t>
      </w:r>
      <w:r w:rsidR="00CD6D06">
        <w:fldChar w:fldCharType="begin"/>
      </w:r>
      <w:r>
        <w:instrText xml:space="preserve"> REF _Ref191743237 \h </w:instrText>
      </w:r>
      <w:r w:rsidR="00CD6D06">
        <w:fldChar w:fldCharType="separate"/>
      </w:r>
      <w:r w:rsidR="00EF3F11">
        <w:t xml:space="preserve">Table </w:t>
      </w:r>
      <w:r w:rsidR="00EF3F11">
        <w:rPr>
          <w:noProof/>
        </w:rPr>
        <w:t>5</w:t>
      </w:r>
      <w:r w:rsidR="00EF3F11">
        <w:t>.</w:t>
      </w:r>
      <w:r w:rsidR="00EF3F11">
        <w:rPr>
          <w:noProof/>
        </w:rPr>
        <w:t>4</w:t>
      </w:r>
      <w:r w:rsidR="00CD6D06">
        <w:fldChar w:fldCharType="end"/>
      </w:r>
      <w:r>
        <w:t xml:space="preserve">.  </w:t>
      </w:r>
      <w:r w:rsidR="00B533F1">
        <w:t xml:space="preserve">The average maximum displacement values are presented in graphical form in </w:t>
      </w:r>
      <w:r w:rsidR="00CD6D06">
        <w:fldChar w:fldCharType="begin"/>
      </w:r>
      <w:r w:rsidR="00B533F1">
        <w:instrText xml:space="preserve"> REF _Ref191743476 \h </w:instrText>
      </w:r>
      <w:r w:rsidR="00CD6D06">
        <w:fldChar w:fldCharType="separate"/>
      </w:r>
      <w:r w:rsidR="00EF3F11">
        <w:t xml:space="preserve">Figure </w:t>
      </w:r>
      <w:r w:rsidR="00EF3F11">
        <w:rPr>
          <w:noProof/>
        </w:rPr>
        <w:t>5</w:t>
      </w:r>
      <w:r w:rsidR="00EF3F11">
        <w:t>.</w:t>
      </w:r>
      <w:r w:rsidR="00EF3F11">
        <w:rPr>
          <w:noProof/>
        </w:rPr>
        <w:t>9</w:t>
      </w:r>
      <w:r w:rsidR="00CD6D06">
        <w:fldChar w:fldCharType="end"/>
      </w:r>
      <w:r w:rsidR="00B533F1">
        <w:t xml:space="preserve">.  </w:t>
      </w:r>
      <w:r w:rsidR="00A75B4A">
        <w:t>The shaded areas of the figure represent the range of displacement results for different soil conditions.  The bold line represents the medium condition (</w:t>
      </w:r>
      <w:r w:rsidR="00A75B4A" w:rsidRPr="00A34F88">
        <w:rPr>
          <w:i/>
        </w:rPr>
        <w:sym w:font="Symbol" w:char="F066"/>
      </w:r>
      <w:r w:rsidR="00A75B4A">
        <w:rPr>
          <w:i/>
        </w:rPr>
        <w:t xml:space="preserve"> </w:t>
      </w:r>
      <w:r w:rsidR="00A75B4A">
        <w:t>= 35°).  The upper and lower bound of the shaded regions are the loose (</w:t>
      </w:r>
      <w:r w:rsidR="00A75B4A" w:rsidRPr="00A34F88">
        <w:rPr>
          <w:i/>
        </w:rPr>
        <w:sym w:font="Symbol" w:char="F066"/>
      </w:r>
      <w:r w:rsidR="00A75B4A">
        <w:rPr>
          <w:i/>
        </w:rPr>
        <w:t xml:space="preserve"> </w:t>
      </w:r>
      <w:r w:rsidR="00A75B4A">
        <w:t>= 30°) and dense (</w:t>
      </w:r>
      <w:r w:rsidR="00A75B4A" w:rsidRPr="00A34F88">
        <w:rPr>
          <w:i/>
        </w:rPr>
        <w:sym w:font="Symbol" w:char="F066"/>
      </w:r>
      <w:r w:rsidR="00A75B4A">
        <w:rPr>
          <w:i/>
        </w:rPr>
        <w:t xml:space="preserve"> </w:t>
      </w:r>
      <w:r w:rsidR="00A75B4A">
        <w:t xml:space="preserve">= 40°) conditions, respectively.  </w:t>
      </w:r>
      <w:r w:rsidR="00B533F1">
        <w:t xml:space="preserve">The zero-damage and acceptable-damage displacement limits </w:t>
      </w:r>
      <w:r w:rsidR="00A75B4A">
        <w:t xml:space="preserve">determined in Chapter 4 </w:t>
      </w:r>
      <w:r w:rsidR="00B533F1">
        <w:t xml:space="preserve">are also shown in </w:t>
      </w:r>
      <w:r w:rsidR="00CD6D06">
        <w:fldChar w:fldCharType="begin"/>
      </w:r>
      <w:r w:rsidR="00B533F1">
        <w:instrText xml:space="preserve"> REF _Ref191743476 \h </w:instrText>
      </w:r>
      <w:r w:rsidR="00CD6D06">
        <w:fldChar w:fldCharType="separate"/>
      </w:r>
      <w:r w:rsidR="00EF3F11">
        <w:t xml:space="preserve">Figure </w:t>
      </w:r>
      <w:r w:rsidR="00EF3F11">
        <w:rPr>
          <w:noProof/>
        </w:rPr>
        <w:t>5</w:t>
      </w:r>
      <w:r w:rsidR="00EF3F11">
        <w:t>.</w:t>
      </w:r>
      <w:r w:rsidR="00EF3F11">
        <w:rPr>
          <w:noProof/>
        </w:rPr>
        <w:t>9</w:t>
      </w:r>
      <w:r w:rsidR="00CD6D06">
        <w:fldChar w:fldCharType="end"/>
      </w:r>
      <w:r w:rsidR="00B533F1">
        <w:t xml:space="preserve">.  </w:t>
      </w:r>
    </w:p>
    <w:p w:rsidR="00374766" w:rsidRDefault="00B533F1" w:rsidP="00B533F1">
      <w:pPr>
        <w:ind w:firstLine="720"/>
      </w:pPr>
      <w:r>
        <w:t xml:space="preserve">For the AASHTO ground motions, none of the models exceeded the zero-damage displacement limit.  For the EE ground motions, the zero-damage displacement limit was exceeded for </w:t>
      </w:r>
      <w:r w:rsidR="00D141C3">
        <w:t xml:space="preserve">Western U.S. ground motions with </w:t>
      </w:r>
      <w:r>
        <w:t>bridge lengths</w:t>
      </w:r>
      <w:r w:rsidR="00D141C3">
        <w:t xml:space="preserve"> greater than </w:t>
      </w:r>
      <w:r w:rsidR="008C1AF2">
        <w:t>6</w:t>
      </w:r>
      <w:r w:rsidR="00D141C3">
        <w:t>00 ft and a loose</w:t>
      </w:r>
      <w:r>
        <w:t xml:space="preserve"> soil condition.  For the MCE ground motions, the computed displacements exceeded the zero-damage limit for all bridge lengths</w:t>
      </w:r>
      <w:r w:rsidR="00412F39">
        <w:t xml:space="preserve"> using Western U.S. ground motions.  The MCE ground motions exceeded the acceptable-damage limit for lengths longer than </w:t>
      </w:r>
      <w:r w:rsidR="008C1AF2">
        <w:t>3</w:t>
      </w:r>
      <w:r w:rsidR="00412F39">
        <w:t>00 ft on dense soil and lengths longer than 800 ft for medium soil.</w:t>
      </w:r>
      <w:r>
        <w:t xml:space="preserve">  </w:t>
      </w:r>
      <w:r w:rsidR="00D141C3">
        <w:t>The zero-damage limit was not exceeded in any case for</w:t>
      </w:r>
      <w:r w:rsidR="00E24C09">
        <w:t xml:space="preserve"> the Eastern U.S. ground motion</w:t>
      </w:r>
      <w:r w:rsidR="00D141C3">
        <w:t>.</w:t>
      </w:r>
    </w:p>
    <w:p w:rsidR="00247EA5" w:rsidRDefault="00247EA5">
      <w:pPr>
        <w:spacing w:line="240" w:lineRule="auto"/>
      </w:pPr>
      <w:r>
        <w:br w:type="page"/>
      </w:r>
    </w:p>
    <w:p w:rsidR="00480AEF" w:rsidRDefault="002A7823" w:rsidP="00247EA5">
      <w:pPr>
        <w:spacing w:line="240" w:lineRule="auto"/>
      </w:pPr>
      <w:r w:rsidRPr="002A7823">
        <w:rPr>
          <w:noProof/>
        </w:rPr>
        <w:lastRenderedPageBreak/>
        <w:drawing>
          <wp:anchor distT="0" distB="0" distL="114300" distR="114300" simplePos="0" relativeHeight="251692032" behindDoc="0" locked="0" layoutInCell="1" allowOverlap="1">
            <wp:simplePos x="0" y="0"/>
            <wp:positionH relativeFrom="column">
              <wp:posOffset>-287383</wp:posOffset>
            </wp:positionH>
            <wp:positionV relativeFrom="paragraph">
              <wp:posOffset>1515926</wp:posOffset>
            </wp:positionV>
            <wp:extent cx="6492240" cy="5060587"/>
            <wp:effectExtent l="0" t="723900" r="0" b="692513"/>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rot="16200000">
                      <a:off x="0" y="0"/>
                      <a:ext cx="6492240" cy="5060587"/>
                    </a:xfrm>
                    <a:prstGeom prst="rect">
                      <a:avLst/>
                    </a:prstGeom>
                    <a:noFill/>
                    <a:ln w="9525">
                      <a:noFill/>
                      <a:miter lim="800000"/>
                      <a:headEnd/>
                      <a:tailEnd/>
                    </a:ln>
                  </pic:spPr>
                </pic:pic>
              </a:graphicData>
            </a:graphic>
          </wp:anchor>
        </w:drawing>
      </w:r>
      <w:r w:rsidR="00CD6D06">
        <w:rPr>
          <w:noProof/>
        </w:rPr>
        <w:pict>
          <v:shape id="_x0000_s1026" type="#_x0000_t202" style="position:absolute;margin-left:0;margin-top:9pt;width:30pt;height:612pt;z-index:251659264;mso-position-horizontal-relative:text;mso-position-vertical-relative:text" stroked="f">
            <v:textbox style="layout-flow:vertical;mso-layout-flow-alt:bottom-to-top">
              <w:txbxContent>
                <w:p w:rsidR="00B9209B" w:rsidRDefault="00B9209B" w:rsidP="00247EA5">
                  <w:pPr>
                    <w:pStyle w:val="Caption"/>
                  </w:pPr>
                  <w:bookmarkStart w:id="39" w:name="_Ref191743237"/>
                  <w:bookmarkStart w:id="40" w:name="_Toc193615471"/>
                  <w:r>
                    <w:t xml:space="preserve">Table </w:t>
                  </w:r>
                  <w:fldSimple w:instr=" STYLEREF 1 \s ">
                    <w:r w:rsidR="00EF3F11">
                      <w:rPr>
                        <w:noProof/>
                      </w:rPr>
                      <w:t>5</w:t>
                    </w:r>
                  </w:fldSimple>
                  <w:r>
                    <w:t>.</w:t>
                  </w:r>
                  <w:fldSimple w:instr=" SEQ Table \* ARABIC \s 1 ">
                    <w:r w:rsidR="00EF3F11">
                      <w:rPr>
                        <w:noProof/>
                      </w:rPr>
                      <w:t>4</w:t>
                    </w:r>
                  </w:fldSimple>
                  <w:bookmarkEnd w:id="39"/>
                  <w:r>
                    <w:t>: Maximum Abutment Displacement (in.) – Series 1</w:t>
                  </w:r>
                  <w:bookmarkEnd w:id="40"/>
                </w:p>
              </w:txbxContent>
            </v:textbox>
          </v:shape>
        </w:pict>
      </w:r>
      <w:r w:rsidR="00480AEF">
        <w:br w:type="page"/>
      </w:r>
    </w:p>
    <w:p w:rsidR="005C1102" w:rsidRDefault="002A7823">
      <w:pPr>
        <w:spacing w:line="240" w:lineRule="auto"/>
      </w:pPr>
      <w:r w:rsidRPr="002A7823">
        <w:rPr>
          <w:noProof/>
        </w:rPr>
        <w:lastRenderedPageBreak/>
        <w:drawing>
          <wp:anchor distT="0" distB="0" distL="114300" distR="114300" simplePos="0" relativeHeight="251693056" behindDoc="0" locked="0" layoutInCell="1" allowOverlap="1">
            <wp:simplePos x="0" y="0"/>
            <wp:positionH relativeFrom="column">
              <wp:posOffset>-287383</wp:posOffset>
            </wp:positionH>
            <wp:positionV relativeFrom="paragraph">
              <wp:posOffset>1536246</wp:posOffset>
            </wp:positionV>
            <wp:extent cx="6492240" cy="5065667"/>
            <wp:effectExtent l="0" t="704850" r="0" b="687433"/>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rot="16200000">
                      <a:off x="0" y="0"/>
                      <a:ext cx="6492240" cy="5065667"/>
                    </a:xfrm>
                    <a:prstGeom prst="rect">
                      <a:avLst/>
                    </a:prstGeom>
                    <a:noFill/>
                    <a:ln w="9525">
                      <a:noFill/>
                      <a:miter lim="800000"/>
                      <a:headEnd/>
                      <a:tailEnd/>
                    </a:ln>
                  </pic:spPr>
                </pic:pic>
              </a:graphicData>
            </a:graphic>
          </wp:anchor>
        </w:drawing>
      </w:r>
      <w:r w:rsidR="00CD6D06">
        <w:rPr>
          <w:noProof/>
        </w:rPr>
        <w:pict>
          <v:shape id="_x0000_s1027" type="#_x0000_t202" style="position:absolute;margin-left:0;margin-top:9pt;width:30pt;height:612pt;z-index:251662336;mso-position-horizontal-relative:text;mso-position-vertical-relative:text" stroked="f">
            <v:textbox style="layout-flow:vertical;mso-layout-flow-alt:bottom-to-top">
              <w:txbxContent>
                <w:p w:rsidR="00B9209B" w:rsidRDefault="00B9209B" w:rsidP="004B25F8">
                  <w:pPr>
                    <w:pStyle w:val="Caption"/>
                  </w:pPr>
                  <w:r>
                    <w:t>Table 5.4 (continued): Maximum Abutment Displacement (in.) – Series 1</w:t>
                  </w:r>
                </w:p>
              </w:txbxContent>
            </v:textbox>
          </v:shape>
        </w:pict>
      </w:r>
      <w:r w:rsidR="005C1102">
        <w:br w:type="page"/>
      </w:r>
    </w:p>
    <w:p w:rsidR="00480AEF" w:rsidRDefault="00516B13" w:rsidP="00480AEF">
      <w:pPr>
        <w:jc w:val="center"/>
      </w:pPr>
      <w:r w:rsidRPr="00516B13">
        <w:rPr>
          <w:noProof/>
        </w:rPr>
        <w:lastRenderedPageBreak/>
        <w:drawing>
          <wp:inline distT="0" distB="0" distL="0" distR="0">
            <wp:extent cx="4768215" cy="6243955"/>
            <wp:effectExtent l="0" t="0" r="0" b="0"/>
            <wp:docPr id="4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srcRect/>
                    <a:stretch>
                      <a:fillRect/>
                    </a:stretch>
                  </pic:blipFill>
                  <pic:spPr bwMode="auto">
                    <a:xfrm>
                      <a:off x="0" y="0"/>
                      <a:ext cx="4768215" cy="6243955"/>
                    </a:xfrm>
                    <a:prstGeom prst="rect">
                      <a:avLst/>
                    </a:prstGeom>
                    <a:noFill/>
                    <a:ln w="9525">
                      <a:noFill/>
                      <a:miter lim="800000"/>
                      <a:headEnd/>
                      <a:tailEnd/>
                    </a:ln>
                  </pic:spPr>
                </pic:pic>
              </a:graphicData>
            </a:graphic>
          </wp:inline>
        </w:drawing>
      </w:r>
    </w:p>
    <w:p w:rsidR="00516B13" w:rsidRDefault="00516B13" w:rsidP="00480AEF">
      <w:pPr>
        <w:jc w:val="center"/>
      </w:pPr>
    </w:p>
    <w:p w:rsidR="00480AEF" w:rsidRDefault="00480AEF" w:rsidP="00480AEF">
      <w:pPr>
        <w:jc w:val="center"/>
      </w:pPr>
    </w:p>
    <w:p w:rsidR="00480AEF" w:rsidRDefault="00480AEF" w:rsidP="00480AEF">
      <w:pPr>
        <w:pStyle w:val="Caption"/>
      </w:pPr>
      <w:bookmarkStart w:id="41" w:name="_Ref191743476"/>
      <w:bookmarkStart w:id="42" w:name="_Toc193615524"/>
      <w:r>
        <w:t xml:space="preserve">Figure </w:t>
      </w:r>
      <w:fldSimple w:instr=" STYLEREF 1 \s ">
        <w:r w:rsidR="00EF3F11">
          <w:rPr>
            <w:noProof/>
          </w:rPr>
          <w:t>5</w:t>
        </w:r>
      </w:fldSimple>
      <w:r w:rsidR="00630774">
        <w:t>.</w:t>
      </w:r>
      <w:fldSimple w:instr=" SEQ Figure \* ARABIC \s 1 ">
        <w:r w:rsidR="00EF3F11">
          <w:rPr>
            <w:noProof/>
          </w:rPr>
          <w:t>9</w:t>
        </w:r>
      </w:fldSimple>
      <w:bookmarkEnd w:id="41"/>
      <w:r>
        <w:t xml:space="preserve">: </w:t>
      </w:r>
      <w:r w:rsidR="0093018D">
        <w:t xml:space="preserve">Average </w:t>
      </w:r>
      <w:r>
        <w:t xml:space="preserve">Maximum Abutment Displacements – </w:t>
      </w:r>
      <w:r w:rsidR="006075CD">
        <w:t>Series 1</w:t>
      </w:r>
      <w:bookmarkEnd w:id="42"/>
    </w:p>
    <w:p w:rsidR="009F2FC2" w:rsidRDefault="009F2FC2">
      <w:pPr>
        <w:spacing w:line="240" w:lineRule="auto"/>
      </w:pPr>
      <w:r>
        <w:br w:type="page"/>
      </w:r>
    </w:p>
    <w:p w:rsidR="009F2FC2" w:rsidRDefault="00E832A0" w:rsidP="009F2FC2">
      <w:pPr>
        <w:spacing w:line="240" w:lineRule="auto"/>
        <w:jc w:val="center"/>
      </w:pPr>
      <w:r w:rsidRPr="00E832A0">
        <w:rPr>
          <w:noProof/>
        </w:rPr>
        <w:lastRenderedPageBreak/>
        <w:drawing>
          <wp:inline distT="0" distB="0" distL="0" distR="0">
            <wp:extent cx="4768215" cy="6243955"/>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srcRect/>
                    <a:stretch>
                      <a:fillRect/>
                    </a:stretch>
                  </pic:blipFill>
                  <pic:spPr bwMode="auto">
                    <a:xfrm>
                      <a:off x="0" y="0"/>
                      <a:ext cx="4768215" cy="6243955"/>
                    </a:xfrm>
                    <a:prstGeom prst="rect">
                      <a:avLst/>
                    </a:prstGeom>
                    <a:noFill/>
                    <a:ln w="9525">
                      <a:noFill/>
                      <a:miter lim="800000"/>
                      <a:headEnd/>
                      <a:tailEnd/>
                    </a:ln>
                  </pic:spPr>
                </pic:pic>
              </a:graphicData>
            </a:graphic>
          </wp:inline>
        </w:drawing>
      </w:r>
    </w:p>
    <w:p w:rsidR="00516B13" w:rsidRDefault="00516B13" w:rsidP="009F2FC2">
      <w:pPr>
        <w:spacing w:line="240" w:lineRule="auto"/>
        <w:jc w:val="center"/>
      </w:pPr>
    </w:p>
    <w:p w:rsidR="00516B13" w:rsidRDefault="00516B13" w:rsidP="009F2FC2">
      <w:pPr>
        <w:spacing w:line="240" w:lineRule="auto"/>
        <w:jc w:val="center"/>
      </w:pPr>
    </w:p>
    <w:p w:rsidR="00A2758C" w:rsidRPr="00A2758C" w:rsidRDefault="00A2758C" w:rsidP="00A2758C"/>
    <w:p w:rsidR="00516B13" w:rsidRDefault="00516B13" w:rsidP="00F3640C">
      <w:pPr>
        <w:pStyle w:val="Caption"/>
      </w:pPr>
      <w:r>
        <w:t>Figure 5.7</w:t>
      </w:r>
      <w:r w:rsidR="0093018D">
        <w:t xml:space="preserve"> (continued): Average Maximum Abutment Displacements – </w:t>
      </w:r>
      <w:r w:rsidR="006075CD">
        <w:t>Series 1</w:t>
      </w:r>
    </w:p>
    <w:p w:rsidR="00516B13" w:rsidRDefault="00516B13">
      <w:pPr>
        <w:spacing w:line="240" w:lineRule="auto"/>
        <w:rPr>
          <w:b/>
          <w:bCs/>
        </w:rPr>
      </w:pPr>
      <w:r>
        <w:br w:type="page"/>
      </w:r>
    </w:p>
    <w:p w:rsidR="00516B13" w:rsidRDefault="00604B59" w:rsidP="00F3640C">
      <w:pPr>
        <w:pStyle w:val="Caption"/>
      </w:pPr>
      <w:r w:rsidRPr="00604B59">
        <w:rPr>
          <w:noProof/>
        </w:rPr>
        <w:lastRenderedPageBreak/>
        <w:drawing>
          <wp:inline distT="0" distB="0" distL="0" distR="0">
            <wp:extent cx="4768215" cy="6243955"/>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4768215" cy="6243955"/>
                    </a:xfrm>
                    <a:prstGeom prst="rect">
                      <a:avLst/>
                    </a:prstGeom>
                    <a:noFill/>
                    <a:ln w="9525">
                      <a:noFill/>
                      <a:miter lim="800000"/>
                      <a:headEnd/>
                      <a:tailEnd/>
                    </a:ln>
                  </pic:spPr>
                </pic:pic>
              </a:graphicData>
            </a:graphic>
          </wp:inline>
        </w:drawing>
      </w:r>
    </w:p>
    <w:p w:rsidR="00516B13" w:rsidRDefault="00516B13" w:rsidP="00F3640C">
      <w:pPr>
        <w:pStyle w:val="Caption"/>
      </w:pPr>
    </w:p>
    <w:p w:rsidR="00516B13" w:rsidRDefault="00516B13" w:rsidP="00F3640C">
      <w:pPr>
        <w:pStyle w:val="Caption"/>
      </w:pPr>
    </w:p>
    <w:p w:rsidR="00516B13" w:rsidRDefault="00516B13" w:rsidP="00516B13">
      <w:pPr>
        <w:pStyle w:val="Caption"/>
      </w:pPr>
      <w:r>
        <w:t>Figure 5.7 (continued): Average Maximum Abutment Displacements – Series 1</w:t>
      </w:r>
    </w:p>
    <w:p w:rsidR="00516B13" w:rsidRDefault="00516B13" w:rsidP="00F3640C">
      <w:pPr>
        <w:pStyle w:val="Caption"/>
      </w:pPr>
    </w:p>
    <w:p w:rsidR="00516B13" w:rsidRDefault="00516B13">
      <w:pPr>
        <w:spacing w:line="240" w:lineRule="auto"/>
        <w:rPr>
          <w:b/>
          <w:bCs/>
        </w:rPr>
      </w:pPr>
      <w:r>
        <w:br w:type="page"/>
      </w:r>
    </w:p>
    <w:p w:rsidR="00516B13" w:rsidRDefault="00604B59" w:rsidP="00F3640C">
      <w:pPr>
        <w:pStyle w:val="Caption"/>
      </w:pPr>
      <w:r w:rsidRPr="00604B59">
        <w:rPr>
          <w:noProof/>
        </w:rPr>
        <w:lastRenderedPageBreak/>
        <w:drawing>
          <wp:inline distT="0" distB="0" distL="0" distR="0">
            <wp:extent cx="4768215" cy="6243955"/>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srcRect/>
                    <a:stretch>
                      <a:fillRect/>
                    </a:stretch>
                  </pic:blipFill>
                  <pic:spPr bwMode="auto">
                    <a:xfrm>
                      <a:off x="0" y="0"/>
                      <a:ext cx="4768215" cy="6243955"/>
                    </a:xfrm>
                    <a:prstGeom prst="rect">
                      <a:avLst/>
                    </a:prstGeom>
                    <a:noFill/>
                    <a:ln w="9525">
                      <a:noFill/>
                      <a:miter lim="800000"/>
                      <a:headEnd/>
                      <a:tailEnd/>
                    </a:ln>
                  </pic:spPr>
                </pic:pic>
              </a:graphicData>
            </a:graphic>
          </wp:inline>
        </w:drawing>
      </w:r>
    </w:p>
    <w:p w:rsidR="00516B13" w:rsidRDefault="00516B13" w:rsidP="00516B13">
      <w:pPr>
        <w:pStyle w:val="Caption"/>
        <w:jc w:val="left"/>
      </w:pPr>
    </w:p>
    <w:p w:rsidR="00516B13" w:rsidRDefault="00516B13" w:rsidP="00F3640C">
      <w:pPr>
        <w:pStyle w:val="Caption"/>
      </w:pPr>
    </w:p>
    <w:p w:rsidR="00516B13" w:rsidRDefault="00516B13" w:rsidP="00516B13">
      <w:pPr>
        <w:pStyle w:val="Caption"/>
      </w:pPr>
      <w:r>
        <w:t>Figure 5.7 (continued): Average Maximum Abutment Displacements – Series 1</w:t>
      </w:r>
    </w:p>
    <w:p w:rsidR="00516B13" w:rsidRDefault="00516B13" w:rsidP="00F3640C">
      <w:pPr>
        <w:pStyle w:val="Caption"/>
      </w:pPr>
    </w:p>
    <w:p w:rsidR="000D0EA7" w:rsidRDefault="000D0EA7" w:rsidP="00F3640C">
      <w:pPr>
        <w:pStyle w:val="Caption"/>
        <w:rPr>
          <w:rFonts w:cs="Arial"/>
          <w:b w:val="0"/>
          <w:bCs w:val="0"/>
          <w:iCs/>
          <w:u w:val="single"/>
        </w:rPr>
      </w:pPr>
      <w:r>
        <w:br w:type="page"/>
      </w:r>
    </w:p>
    <w:p w:rsidR="005D2880" w:rsidRDefault="00F518C9" w:rsidP="003521D1">
      <w:pPr>
        <w:pStyle w:val="Heading3"/>
      </w:pPr>
      <w:bookmarkStart w:id="43" w:name="_Toc193615447"/>
      <w:r>
        <w:lastRenderedPageBreak/>
        <w:t>Series 2 – Backfill Stiffness</w:t>
      </w:r>
      <w:bookmarkEnd w:id="43"/>
    </w:p>
    <w:p w:rsidR="009E6A5C" w:rsidRDefault="003521D1" w:rsidP="003521D1">
      <w:pPr>
        <w:ind w:firstLine="720"/>
      </w:pPr>
      <w:r>
        <w:t xml:space="preserve">The numerical results of the Series 2 models </w:t>
      </w:r>
      <w:r w:rsidR="00D141C3">
        <w:t xml:space="preserve">evaluating backfill stiffness </w:t>
      </w:r>
      <w:r>
        <w:t xml:space="preserve">are presented in </w:t>
      </w:r>
      <w:r w:rsidR="00CD6D06">
        <w:fldChar w:fldCharType="begin"/>
      </w:r>
      <w:r>
        <w:instrText xml:space="preserve"> REF _Ref191744083 \h </w:instrText>
      </w:r>
      <w:r w:rsidR="00CD6D06">
        <w:fldChar w:fldCharType="separate"/>
      </w:r>
      <w:r w:rsidR="00EF3F11">
        <w:t xml:space="preserve">Table </w:t>
      </w:r>
      <w:r w:rsidR="00EF3F11">
        <w:rPr>
          <w:noProof/>
        </w:rPr>
        <w:t>5</w:t>
      </w:r>
      <w:r w:rsidR="00EF3F11">
        <w:t>.</w:t>
      </w:r>
      <w:r w:rsidR="00EF3F11">
        <w:rPr>
          <w:noProof/>
        </w:rPr>
        <w:t>5</w:t>
      </w:r>
      <w:r w:rsidR="00CD6D06">
        <w:fldChar w:fldCharType="end"/>
      </w:r>
      <w:r>
        <w:t xml:space="preserve">.  The average maximum displacement values are presented in graphical form in </w:t>
      </w:r>
      <w:r w:rsidR="00CD6D06">
        <w:fldChar w:fldCharType="begin"/>
      </w:r>
      <w:r>
        <w:instrText xml:space="preserve"> REF _Ref191744139 \h </w:instrText>
      </w:r>
      <w:r w:rsidR="00CD6D06">
        <w:fldChar w:fldCharType="separate"/>
      </w:r>
      <w:r w:rsidR="00EF3F11">
        <w:t xml:space="preserve">Figure </w:t>
      </w:r>
      <w:r w:rsidR="00EF3F11">
        <w:rPr>
          <w:noProof/>
        </w:rPr>
        <w:t>5</w:t>
      </w:r>
      <w:r w:rsidR="00EF3F11">
        <w:t>.</w:t>
      </w:r>
      <w:r w:rsidR="00EF3F11">
        <w:rPr>
          <w:noProof/>
        </w:rPr>
        <w:t>10</w:t>
      </w:r>
      <w:r w:rsidR="00CD6D06">
        <w:fldChar w:fldCharType="end"/>
      </w:r>
      <w:r>
        <w:t xml:space="preserve">.  </w:t>
      </w:r>
      <w:r w:rsidR="00A75B4A">
        <w:t>The shaded a</w:t>
      </w:r>
      <w:r w:rsidR="00432735">
        <w:t xml:space="preserve">reas of the figure represent displacements </w:t>
      </w:r>
      <w:r w:rsidR="00A75B4A">
        <w:t xml:space="preserve">values based on </w:t>
      </w:r>
      <w:r w:rsidR="00432735">
        <w:t xml:space="preserve">a range of values of </w:t>
      </w:r>
      <w:r w:rsidR="00432735" w:rsidRPr="00432735">
        <w:rPr>
          <w:i/>
        </w:rPr>
        <w:t>n</w:t>
      </w:r>
      <w:r w:rsidR="00432735" w:rsidRPr="00432735">
        <w:rPr>
          <w:i/>
          <w:vertAlign w:val="subscript"/>
        </w:rPr>
        <w:t>h</w:t>
      </w:r>
      <w:r w:rsidR="00432735">
        <w:t xml:space="preserve"> used in the </w:t>
      </w:r>
      <w:r w:rsidR="00A75B4A">
        <w:t xml:space="preserve">stiffness </w:t>
      </w:r>
      <w:r w:rsidR="00432735">
        <w:t>approach</w:t>
      </w:r>
      <w:r w:rsidR="00A75B4A">
        <w:t>.</w:t>
      </w:r>
      <w:r w:rsidR="00432735">
        <w:t xml:space="preserve">  </w:t>
      </w:r>
      <w:r>
        <w:t xml:space="preserve">The zero-damage and acceptable-damage displacement limits are also shown in </w:t>
      </w:r>
      <w:r w:rsidR="00CD6D06">
        <w:fldChar w:fldCharType="begin"/>
      </w:r>
      <w:r>
        <w:instrText xml:space="preserve"> REF _Ref191744139 \h </w:instrText>
      </w:r>
      <w:r w:rsidR="00CD6D06">
        <w:fldChar w:fldCharType="separate"/>
      </w:r>
      <w:r w:rsidR="00EF3F11">
        <w:t xml:space="preserve">Figure </w:t>
      </w:r>
      <w:r w:rsidR="00EF3F11">
        <w:rPr>
          <w:noProof/>
        </w:rPr>
        <w:t>5</w:t>
      </w:r>
      <w:r w:rsidR="00EF3F11">
        <w:t>.</w:t>
      </w:r>
      <w:r w:rsidR="00EF3F11">
        <w:rPr>
          <w:noProof/>
        </w:rPr>
        <w:t>10</w:t>
      </w:r>
      <w:r w:rsidR="00CD6D06">
        <w:fldChar w:fldCharType="end"/>
      </w:r>
      <w:r>
        <w:t xml:space="preserve">.  </w:t>
      </w:r>
    </w:p>
    <w:p w:rsidR="003521D1" w:rsidRPr="003521D1" w:rsidRDefault="003521D1" w:rsidP="003521D1">
      <w:pPr>
        <w:ind w:firstLine="720"/>
      </w:pPr>
      <w:r>
        <w:t xml:space="preserve">The displacements computed </w:t>
      </w:r>
      <w:r w:rsidR="00501743">
        <w:t xml:space="preserve">for Series 2 are generally </w:t>
      </w:r>
      <w:r>
        <w:t>smaller than those in Series 1</w:t>
      </w:r>
      <w:r w:rsidR="00D141C3">
        <w:t xml:space="preserve"> as expected due to the presence of the backfill</w:t>
      </w:r>
      <w:r>
        <w:t xml:space="preserve">.  </w:t>
      </w:r>
      <w:r w:rsidR="00501743">
        <w:t xml:space="preserve">The displacements of the abutment computed using abutment-soil spring parameters based on the </w:t>
      </w:r>
      <w:r w:rsidR="00501743" w:rsidRPr="00BD5D59">
        <w:rPr>
          <w:rFonts w:ascii="Symbol" w:hAnsi="Symbol"/>
          <w:i/>
        </w:rPr>
        <w:t></w:t>
      </w:r>
      <w:r w:rsidR="00501743" w:rsidRPr="00BD5D59">
        <w:rPr>
          <w:i/>
          <w:vertAlign w:val="subscript"/>
        </w:rPr>
        <w:t>u</w:t>
      </w:r>
      <w:r w:rsidR="00501743" w:rsidRPr="00BD5D59">
        <w:rPr>
          <w:i/>
        </w:rPr>
        <w:t>/H</w:t>
      </w:r>
      <w:r w:rsidR="00501743">
        <w:rPr>
          <w:i/>
        </w:rPr>
        <w:t xml:space="preserve"> </w:t>
      </w:r>
      <w:r w:rsidR="00501743">
        <w:t xml:space="preserve">= 0.02 criteria correspond roughly to the case of no backfill resistance and dense soil </w:t>
      </w:r>
      <w:r w:rsidR="00D141C3">
        <w:t>considered in</w:t>
      </w:r>
      <w:r w:rsidR="00501743">
        <w:t xml:space="preserve"> Series 1.  The displacements of the abutment computed using the abutment-soil spring parameters based on the stiffness approach are significantly less than the displacements computed in Series 1 for all cases.  </w:t>
      </w:r>
      <w:r>
        <w:t xml:space="preserve">For the AASHTO and EE ground motions, the computed responses did not exceed the zero-damage limit for any case.  For the MCE ground motions, the computed displacements exceeded the zero-damage limit for bridge lengths greater than </w:t>
      </w:r>
      <w:r w:rsidR="0068163F">
        <w:t xml:space="preserve">approximately </w:t>
      </w:r>
      <w:r w:rsidR="008C1AF2">
        <w:t>3</w:t>
      </w:r>
      <w:r>
        <w:t xml:space="preserve">00 ft </w:t>
      </w:r>
      <w:r w:rsidR="0068163F">
        <w:t>for abutment-soil springs based on</w:t>
      </w:r>
      <w:r>
        <w:t xml:space="preserve"> the displacement approach</w:t>
      </w:r>
      <w:r w:rsidR="0068163F">
        <w:t xml:space="preserve"> and approximately </w:t>
      </w:r>
      <w:r w:rsidR="008C1AF2">
        <w:t>7</w:t>
      </w:r>
      <w:r w:rsidR="0068163F">
        <w:t>00 ft for abutment-soil springs based on the stiffness approach</w:t>
      </w:r>
      <w:r>
        <w:t>.</w:t>
      </w:r>
      <w:r w:rsidR="00501743">
        <w:t xml:space="preserve">  In no case did the computed displacements exceed the acceptable-damage limit</w:t>
      </w:r>
      <w:r w:rsidR="00D141C3">
        <w:t>.  In addition, the zero-damage limit was not exceeded for any case using Eastern U.S. ground motions.</w:t>
      </w:r>
    </w:p>
    <w:p w:rsidR="00062482" w:rsidRDefault="00062482" w:rsidP="00062482"/>
    <w:p w:rsidR="00062482" w:rsidRDefault="00062482">
      <w:pPr>
        <w:spacing w:line="240" w:lineRule="auto"/>
      </w:pPr>
      <w:r>
        <w:br w:type="page"/>
      </w:r>
    </w:p>
    <w:p w:rsidR="00062482" w:rsidRDefault="00CD6D06" w:rsidP="00062482">
      <w:r>
        <w:rPr>
          <w:noProof/>
          <w:lang w:eastAsia="zh-TW"/>
        </w:rPr>
        <w:lastRenderedPageBreak/>
        <w:pict>
          <v:shape id="_x0000_s1029" type="#_x0000_t202" style="position:absolute;margin-left:6pt;margin-top:18.4pt;width:42pt;height:585pt;z-index:251667456;mso-width-relative:margin;mso-height-relative:margin;v-text-anchor:middle" stroked="f">
            <v:textbox style="layout-flow:vertical;mso-layout-flow-alt:bottom-to-top;mso-next-textbox:#_x0000_s1029">
              <w:txbxContent>
                <w:p w:rsidR="00B9209B" w:rsidRPr="00062482" w:rsidRDefault="00B9209B" w:rsidP="00062482">
                  <w:pPr>
                    <w:pStyle w:val="Caption"/>
                  </w:pPr>
                  <w:bookmarkStart w:id="44" w:name="_Ref191744083"/>
                  <w:bookmarkStart w:id="45" w:name="_Toc193615472"/>
                  <w:r>
                    <w:t xml:space="preserve">Table </w:t>
                  </w:r>
                  <w:fldSimple w:instr=" STYLEREF 1 \s ">
                    <w:r w:rsidR="00EF3F11">
                      <w:rPr>
                        <w:noProof/>
                      </w:rPr>
                      <w:t>5</w:t>
                    </w:r>
                  </w:fldSimple>
                  <w:r>
                    <w:t>.</w:t>
                  </w:r>
                  <w:fldSimple w:instr=" SEQ Table \* ARABIC \s 1 ">
                    <w:r w:rsidR="00EF3F11">
                      <w:rPr>
                        <w:noProof/>
                      </w:rPr>
                      <w:t>5</w:t>
                    </w:r>
                  </w:fldSimple>
                  <w:bookmarkEnd w:id="44"/>
                  <w:r>
                    <w:t>: Maximum Abutment Displacement (in.) – Series 2</w:t>
                  </w:r>
                  <w:bookmarkEnd w:id="45"/>
                </w:p>
              </w:txbxContent>
            </v:textbox>
          </v:shape>
        </w:pict>
      </w:r>
    </w:p>
    <w:p w:rsidR="00062482" w:rsidRDefault="00062482" w:rsidP="00062482"/>
    <w:p w:rsidR="00062482" w:rsidRDefault="00062482" w:rsidP="00062482"/>
    <w:p w:rsidR="00062482" w:rsidRDefault="00062482" w:rsidP="00062482"/>
    <w:p w:rsidR="00062482" w:rsidRDefault="00062482" w:rsidP="00062482"/>
    <w:p w:rsidR="00062482" w:rsidRDefault="00062482" w:rsidP="00062482"/>
    <w:p w:rsidR="00062482" w:rsidRDefault="00062482" w:rsidP="00062482"/>
    <w:p w:rsidR="00062482" w:rsidRDefault="00062482" w:rsidP="00062482"/>
    <w:p w:rsidR="00062482" w:rsidRDefault="00DE2FDE" w:rsidP="00062482">
      <w:r>
        <w:rPr>
          <w:noProof/>
        </w:rPr>
        <w:drawing>
          <wp:anchor distT="0" distB="0" distL="114300" distR="114300" simplePos="0" relativeHeight="251694080" behindDoc="0" locked="0" layoutInCell="1" allowOverlap="1">
            <wp:simplePos x="0" y="0"/>
            <wp:positionH relativeFrom="column">
              <wp:posOffset>-836295</wp:posOffset>
            </wp:positionH>
            <wp:positionV relativeFrom="paragraph">
              <wp:posOffset>102235</wp:posOffset>
            </wp:positionV>
            <wp:extent cx="6635750" cy="3582670"/>
            <wp:effectExtent l="0" t="1524000" r="0" b="1503680"/>
            <wp:wrapNone/>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srcRect/>
                    <a:stretch>
                      <a:fillRect/>
                    </a:stretch>
                  </pic:blipFill>
                  <pic:spPr bwMode="auto">
                    <a:xfrm rot="16200000">
                      <a:off x="0" y="0"/>
                      <a:ext cx="6635750" cy="3582670"/>
                    </a:xfrm>
                    <a:prstGeom prst="rect">
                      <a:avLst/>
                    </a:prstGeom>
                    <a:noFill/>
                    <a:ln w="9525">
                      <a:noFill/>
                      <a:miter lim="800000"/>
                      <a:headEnd/>
                      <a:tailEnd/>
                    </a:ln>
                  </pic:spPr>
                </pic:pic>
              </a:graphicData>
            </a:graphic>
          </wp:anchor>
        </w:drawing>
      </w:r>
    </w:p>
    <w:p w:rsidR="00062482" w:rsidRDefault="00062482" w:rsidP="00062482"/>
    <w:p w:rsidR="00062482" w:rsidRDefault="00062482" w:rsidP="00062482"/>
    <w:p w:rsidR="00062482" w:rsidRPr="00062482" w:rsidRDefault="00062482" w:rsidP="00062482"/>
    <w:p w:rsidR="00062482" w:rsidRDefault="00062482">
      <w:pPr>
        <w:spacing w:line="240" w:lineRule="auto"/>
        <w:rPr>
          <w:rFonts w:cs="Arial"/>
          <w:b/>
          <w:bCs/>
          <w:iCs/>
          <w:u w:val="single"/>
        </w:rPr>
      </w:pPr>
      <w:r>
        <w:br w:type="page"/>
      </w:r>
    </w:p>
    <w:p w:rsidR="00DF1C5C" w:rsidRDefault="00861E51">
      <w:pPr>
        <w:spacing w:line="240" w:lineRule="auto"/>
      </w:pPr>
      <w:r w:rsidRPr="00861E51">
        <w:rPr>
          <w:noProof/>
        </w:rPr>
        <w:lastRenderedPageBreak/>
        <w:drawing>
          <wp:anchor distT="0" distB="0" distL="114300" distR="114300" simplePos="0" relativeHeight="251695104" behindDoc="0" locked="0" layoutInCell="1" allowOverlap="1">
            <wp:simplePos x="0" y="0"/>
            <wp:positionH relativeFrom="column">
              <wp:posOffset>-836023</wp:posOffset>
            </wp:positionH>
            <wp:positionV relativeFrom="paragraph">
              <wp:posOffset>2205536</wp:posOffset>
            </wp:positionV>
            <wp:extent cx="6635932" cy="3583396"/>
            <wp:effectExtent l="0" t="1524000" r="0" b="1502954"/>
            <wp:wrapNone/>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srcRect/>
                    <a:stretch>
                      <a:fillRect/>
                    </a:stretch>
                  </pic:blipFill>
                  <pic:spPr bwMode="auto">
                    <a:xfrm rot="16200000">
                      <a:off x="0" y="0"/>
                      <a:ext cx="6635932" cy="3583396"/>
                    </a:xfrm>
                    <a:prstGeom prst="rect">
                      <a:avLst/>
                    </a:prstGeom>
                    <a:noFill/>
                    <a:ln w="9525">
                      <a:noFill/>
                      <a:miter lim="800000"/>
                      <a:headEnd/>
                      <a:tailEnd/>
                    </a:ln>
                  </pic:spPr>
                </pic:pic>
              </a:graphicData>
            </a:graphic>
          </wp:anchor>
        </w:drawing>
      </w:r>
      <w:r w:rsidR="00CD6D06">
        <w:rPr>
          <w:noProof/>
        </w:rPr>
        <w:pict>
          <v:shape id="_x0000_s1030" type="#_x0000_t202" style="position:absolute;margin-left:6pt;margin-top:18pt;width:42pt;height:585pt;z-index:251669504;mso-position-horizontal-relative:text;mso-position-vertical-relative:text;mso-width-relative:margin;mso-height-relative:margin;v-text-anchor:middle" stroked="f">
            <v:textbox style="layout-flow:vertical;mso-layout-flow-alt:bottom-to-top;mso-next-textbox:#_x0000_s1030">
              <w:txbxContent>
                <w:p w:rsidR="00B9209B" w:rsidRPr="004A28B4" w:rsidRDefault="00B9209B" w:rsidP="004A28B4">
                  <w:pPr>
                    <w:jc w:val="center"/>
                    <w:rPr>
                      <w:b/>
                    </w:rPr>
                  </w:pPr>
                  <w:r w:rsidRPr="004A28B4">
                    <w:rPr>
                      <w:b/>
                    </w:rPr>
                    <w:t>Table 5</w:t>
                  </w:r>
                  <w:r>
                    <w:rPr>
                      <w:b/>
                    </w:rPr>
                    <w:t>.5</w:t>
                  </w:r>
                  <w:r w:rsidRPr="004A28B4">
                    <w:rPr>
                      <w:b/>
                    </w:rPr>
                    <w:t xml:space="preserve"> (continued) : Maximum Abutment Displacements (in.) – </w:t>
                  </w:r>
                  <w:r>
                    <w:rPr>
                      <w:b/>
                    </w:rPr>
                    <w:t>Series 2</w:t>
                  </w:r>
                </w:p>
              </w:txbxContent>
            </v:textbox>
          </v:shape>
        </w:pict>
      </w:r>
      <w:r w:rsidR="00062482">
        <w:br w:type="page"/>
      </w:r>
      <w:r>
        <w:rPr>
          <w:noProof/>
        </w:rPr>
        <w:lastRenderedPageBreak/>
        <w:drawing>
          <wp:anchor distT="0" distB="0" distL="114300" distR="114300" simplePos="0" relativeHeight="251696128" behindDoc="0" locked="0" layoutInCell="1" allowOverlap="1">
            <wp:simplePos x="0" y="0"/>
            <wp:positionH relativeFrom="column">
              <wp:posOffset>-846500</wp:posOffset>
            </wp:positionH>
            <wp:positionV relativeFrom="paragraph">
              <wp:posOffset>2216331</wp:posOffset>
            </wp:positionV>
            <wp:extent cx="6635932" cy="3571331"/>
            <wp:effectExtent l="0" t="1524000" r="0" b="1515019"/>
            <wp:wrapNone/>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srcRect/>
                    <a:stretch>
                      <a:fillRect/>
                    </a:stretch>
                  </pic:blipFill>
                  <pic:spPr bwMode="auto">
                    <a:xfrm rot="16200000">
                      <a:off x="0" y="0"/>
                      <a:ext cx="6635932" cy="3571331"/>
                    </a:xfrm>
                    <a:prstGeom prst="rect">
                      <a:avLst/>
                    </a:prstGeom>
                    <a:noFill/>
                    <a:ln w="9525">
                      <a:noFill/>
                      <a:miter lim="800000"/>
                      <a:headEnd/>
                      <a:tailEnd/>
                    </a:ln>
                  </pic:spPr>
                </pic:pic>
              </a:graphicData>
            </a:graphic>
          </wp:anchor>
        </w:drawing>
      </w:r>
      <w:r w:rsidR="00CD6D06">
        <w:rPr>
          <w:noProof/>
        </w:rPr>
        <w:pict>
          <v:shape id="_x0000_s1032" type="#_x0000_t202" style="position:absolute;margin-left:6pt;margin-top:18pt;width:42pt;height:585pt;z-index:251672576;mso-position-horizontal-relative:text;mso-position-vertical-relative:text;mso-width-relative:margin;mso-height-relative:margin;v-text-anchor:middle" stroked="f">
            <v:textbox style="layout-flow:vertical;mso-layout-flow-alt:bottom-to-top;mso-next-textbox:#_x0000_s1032">
              <w:txbxContent>
                <w:p w:rsidR="00B9209B" w:rsidRPr="004A28B4" w:rsidRDefault="00B9209B" w:rsidP="00DF1C5C">
                  <w:pPr>
                    <w:jc w:val="center"/>
                    <w:rPr>
                      <w:b/>
                    </w:rPr>
                  </w:pPr>
                  <w:r w:rsidRPr="004A28B4">
                    <w:rPr>
                      <w:b/>
                    </w:rPr>
                    <w:t>Table 5</w:t>
                  </w:r>
                  <w:r>
                    <w:rPr>
                      <w:b/>
                    </w:rPr>
                    <w:t>.5</w:t>
                  </w:r>
                  <w:r w:rsidRPr="004A28B4">
                    <w:rPr>
                      <w:b/>
                    </w:rPr>
                    <w:t xml:space="preserve"> (continued) : Maximum </w:t>
                  </w:r>
                  <w:r>
                    <w:rPr>
                      <w:b/>
                    </w:rPr>
                    <w:t>Abutment Displacements (in.) – Series 2</w:t>
                  </w:r>
                </w:p>
              </w:txbxContent>
            </v:textbox>
          </v:shape>
        </w:pict>
      </w:r>
      <w:r w:rsidR="00DF1C5C">
        <w:br w:type="page"/>
      </w:r>
    </w:p>
    <w:p w:rsidR="00DF1C5C" w:rsidRDefault="00861E51">
      <w:pPr>
        <w:spacing w:line="240" w:lineRule="auto"/>
        <w:rPr>
          <w:rFonts w:cs="Arial"/>
          <w:b/>
          <w:bCs/>
          <w:iCs/>
          <w:u w:val="single"/>
        </w:rPr>
      </w:pPr>
      <w:r w:rsidRPr="00861E51">
        <w:rPr>
          <w:noProof/>
        </w:rPr>
        <w:lastRenderedPageBreak/>
        <w:drawing>
          <wp:anchor distT="0" distB="0" distL="114300" distR="114300" simplePos="0" relativeHeight="251697152" behindDoc="0" locked="0" layoutInCell="1" allowOverlap="1">
            <wp:simplePos x="0" y="0"/>
            <wp:positionH relativeFrom="column">
              <wp:posOffset>-849086</wp:posOffset>
            </wp:positionH>
            <wp:positionV relativeFrom="paragraph">
              <wp:posOffset>2220912</wp:posOffset>
            </wp:positionV>
            <wp:extent cx="6635932" cy="3552643"/>
            <wp:effectExtent l="0" t="1543050" r="0" b="1514657"/>
            <wp:wrapNone/>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srcRect/>
                    <a:stretch>
                      <a:fillRect/>
                    </a:stretch>
                  </pic:blipFill>
                  <pic:spPr bwMode="auto">
                    <a:xfrm rot="16200000">
                      <a:off x="0" y="0"/>
                      <a:ext cx="6635932" cy="3552643"/>
                    </a:xfrm>
                    <a:prstGeom prst="rect">
                      <a:avLst/>
                    </a:prstGeom>
                    <a:noFill/>
                    <a:ln w="9525">
                      <a:noFill/>
                      <a:miter lim="800000"/>
                      <a:headEnd/>
                      <a:tailEnd/>
                    </a:ln>
                  </pic:spPr>
                </pic:pic>
              </a:graphicData>
            </a:graphic>
          </wp:anchor>
        </w:drawing>
      </w:r>
      <w:r w:rsidR="00CD6D06" w:rsidRPr="00CD6D06">
        <w:rPr>
          <w:noProof/>
        </w:rPr>
        <w:pict>
          <v:shape id="_x0000_s1033" type="#_x0000_t202" style="position:absolute;margin-left:6pt;margin-top:18pt;width:42pt;height:585pt;z-index:251673600;mso-position-horizontal-relative:text;mso-position-vertical-relative:text;mso-width-relative:margin;mso-height-relative:margin;v-text-anchor:middle" stroked="f">
            <v:textbox style="layout-flow:vertical;mso-layout-flow-alt:bottom-to-top;mso-next-textbox:#_x0000_s1033">
              <w:txbxContent>
                <w:p w:rsidR="00B9209B" w:rsidRPr="004A28B4" w:rsidRDefault="00B9209B" w:rsidP="00DF1C5C">
                  <w:pPr>
                    <w:jc w:val="center"/>
                    <w:rPr>
                      <w:b/>
                    </w:rPr>
                  </w:pPr>
                  <w:r w:rsidRPr="004A28B4">
                    <w:rPr>
                      <w:b/>
                    </w:rPr>
                    <w:t>Table 5</w:t>
                  </w:r>
                  <w:r>
                    <w:rPr>
                      <w:b/>
                    </w:rPr>
                    <w:t>.5</w:t>
                  </w:r>
                  <w:r w:rsidRPr="004A28B4">
                    <w:rPr>
                      <w:b/>
                    </w:rPr>
                    <w:t xml:space="preserve"> (continued) : Maximum </w:t>
                  </w:r>
                  <w:r>
                    <w:rPr>
                      <w:b/>
                    </w:rPr>
                    <w:t>Abutment Displacements (in.) – Series 2</w:t>
                  </w:r>
                </w:p>
              </w:txbxContent>
            </v:textbox>
          </v:shape>
        </w:pict>
      </w:r>
      <w:r w:rsidR="00DF1C5C">
        <w:rPr>
          <w:rFonts w:cs="Arial"/>
          <w:b/>
          <w:bCs/>
          <w:iCs/>
          <w:u w:val="single"/>
        </w:rPr>
        <w:br w:type="page"/>
      </w:r>
    </w:p>
    <w:p w:rsidR="00062482" w:rsidRDefault="00246D68" w:rsidP="00246D68">
      <w:pPr>
        <w:spacing w:line="240" w:lineRule="auto"/>
        <w:jc w:val="center"/>
        <w:rPr>
          <w:rFonts w:cs="Arial"/>
          <w:b/>
          <w:bCs/>
          <w:iCs/>
          <w:u w:val="single"/>
        </w:rPr>
      </w:pPr>
      <w:r w:rsidRPr="00246D68">
        <w:rPr>
          <w:noProof/>
        </w:rPr>
        <w:lastRenderedPageBreak/>
        <w:drawing>
          <wp:inline distT="0" distB="0" distL="0" distR="0">
            <wp:extent cx="4768215" cy="6243955"/>
            <wp:effectExtent l="0" t="0" r="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srcRect/>
                    <a:stretch>
                      <a:fillRect/>
                    </a:stretch>
                  </pic:blipFill>
                  <pic:spPr bwMode="auto">
                    <a:xfrm>
                      <a:off x="0" y="0"/>
                      <a:ext cx="4768215" cy="6243955"/>
                    </a:xfrm>
                    <a:prstGeom prst="rect">
                      <a:avLst/>
                    </a:prstGeom>
                    <a:noFill/>
                    <a:ln w="9525">
                      <a:noFill/>
                      <a:miter lim="800000"/>
                      <a:headEnd/>
                      <a:tailEnd/>
                    </a:ln>
                  </pic:spPr>
                </pic:pic>
              </a:graphicData>
            </a:graphic>
          </wp:inline>
        </w:drawing>
      </w:r>
    </w:p>
    <w:p w:rsidR="004A28B4" w:rsidRDefault="004A28B4" w:rsidP="004A28B4">
      <w:pPr>
        <w:spacing w:line="240" w:lineRule="auto"/>
        <w:jc w:val="center"/>
      </w:pPr>
    </w:p>
    <w:p w:rsidR="00A2758C" w:rsidRDefault="00A2758C" w:rsidP="004A28B4">
      <w:pPr>
        <w:spacing w:line="240" w:lineRule="auto"/>
        <w:jc w:val="center"/>
      </w:pPr>
    </w:p>
    <w:p w:rsidR="004A28B4" w:rsidRDefault="004A28B4" w:rsidP="004A28B4">
      <w:pPr>
        <w:spacing w:line="240" w:lineRule="auto"/>
        <w:jc w:val="center"/>
      </w:pPr>
    </w:p>
    <w:p w:rsidR="004A28B4" w:rsidRDefault="004A28B4" w:rsidP="004A28B4">
      <w:pPr>
        <w:pStyle w:val="Caption"/>
      </w:pPr>
      <w:bookmarkStart w:id="46" w:name="_Ref191744139"/>
      <w:bookmarkStart w:id="47" w:name="_Toc193615525"/>
      <w:r>
        <w:t xml:space="preserve">Figure </w:t>
      </w:r>
      <w:fldSimple w:instr=" STYLEREF 1 \s ">
        <w:r w:rsidR="00EF3F11">
          <w:rPr>
            <w:noProof/>
          </w:rPr>
          <w:t>5</w:t>
        </w:r>
      </w:fldSimple>
      <w:r w:rsidR="00630774">
        <w:t>.</w:t>
      </w:r>
      <w:fldSimple w:instr=" SEQ Figure \* ARABIC \s 1 ">
        <w:r w:rsidR="00EF3F11">
          <w:rPr>
            <w:noProof/>
          </w:rPr>
          <w:t>10</w:t>
        </w:r>
      </w:fldSimple>
      <w:bookmarkEnd w:id="46"/>
      <w:r>
        <w:t xml:space="preserve">: Average Maximum Abutment Displacements – </w:t>
      </w:r>
      <w:r w:rsidR="006075CD">
        <w:t>Series 2</w:t>
      </w:r>
      <w:bookmarkEnd w:id="47"/>
    </w:p>
    <w:p w:rsidR="004A28B4" w:rsidRDefault="004A28B4">
      <w:pPr>
        <w:spacing w:line="240" w:lineRule="auto"/>
        <w:rPr>
          <w:b/>
          <w:bCs/>
        </w:rPr>
      </w:pPr>
      <w:r>
        <w:br w:type="page"/>
      </w:r>
    </w:p>
    <w:p w:rsidR="00246D68" w:rsidRDefault="00522D5B" w:rsidP="00246D68">
      <w:pPr>
        <w:jc w:val="center"/>
        <w:rPr>
          <w:b/>
          <w:bCs/>
          <w:noProof/>
        </w:rPr>
      </w:pPr>
      <w:r w:rsidRPr="00522D5B">
        <w:rPr>
          <w:noProof/>
        </w:rPr>
        <w:lastRenderedPageBreak/>
        <w:drawing>
          <wp:inline distT="0" distB="0" distL="0" distR="0">
            <wp:extent cx="4768215" cy="6243955"/>
            <wp:effectExtent l="0" t="0" r="0" b="0"/>
            <wp:docPr id="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srcRect/>
                    <a:stretch>
                      <a:fillRect/>
                    </a:stretch>
                  </pic:blipFill>
                  <pic:spPr bwMode="auto">
                    <a:xfrm>
                      <a:off x="0" y="0"/>
                      <a:ext cx="4768215" cy="6243955"/>
                    </a:xfrm>
                    <a:prstGeom prst="rect">
                      <a:avLst/>
                    </a:prstGeom>
                    <a:noFill/>
                    <a:ln w="9525">
                      <a:noFill/>
                      <a:miter lim="800000"/>
                      <a:headEnd/>
                      <a:tailEnd/>
                    </a:ln>
                  </pic:spPr>
                </pic:pic>
              </a:graphicData>
            </a:graphic>
          </wp:inline>
        </w:drawing>
      </w:r>
    </w:p>
    <w:p w:rsidR="00246D68" w:rsidRPr="00246D68" w:rsidRDefault="00246D68" w:rsidP="00246D68"/>
    <w:p w:rsidR="00A2758C" w:rsidRPr="00A2758C" w:rsidRDefault="00A2758C" w:rsidP="00A2758C"/>
    <w:p w:rsidR="004A28B4" w:rsidRDefault="004A28B4" w:rsidP="004A28B4">
      <w:pPr>
        <w:pStyle w:val="Caption"/>
      </w:pPr>
      <w:r>
        <w:t xml:space="preserve">Figure 5.8 (continued): Average Maximum Abutment Displacements – </w:t>
      </w:r>
      <w:r w:rsidR="006075CD">
        <w:t>Series 2</w:t>
      </w:r>
    </w:p>
    <w:p w:rsidR="00246D68" w:rsidRDefault="00246D68">
      <w:pPr>
        <w:spacing w:line="240" w:lineRule="auto"/>
        <w:rPr>
          <w:b/>
          <w:bCs/>
        </w:rPr>
      </w:pPr>
      <w:r>
        <w:br w:type="page"/>
      </w:r>
    </w:p>
    <w:p w:rsidR="004A28B4" w:rsidRDefault="00522D5B" w:rsidP="00246D68">
      <w:pPr>
        <w:pStyle w:val="Caption"/>
      </w:pPr>
      <w:r w:rsidRPr="00522D5B">
        <w:rPr>
          <w:noProof/>
        </w:rPr>
        <w:lastRenderedPageBreak/>
        <w:drawing>
          <wp:inline distT="0" distB="0" distL="0" distR="0">
            <wp:extent cx="4780915" cy="6243955"/>
            <wp:effectExtent l="0" t="0" r="0" b="0"/>
            <wp:docPr id="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srcRect/>
                    <a:stretch>
                      <a:fillRect/>
                    </a:stretch>
                  </pic:blipFill>
                  <pic:spPr bwMode="auto">
                    <a:xfrm>
                      <a:off x="0" y="0"/>
                      <a:ext cx="4780915" cy="6243955"/>
                    </a:xfrm>
                    <a:prstGeom prst="rect">
                      <a:avLst/>
                    </a:prstGeom>
                    <a:noFill/>
                    <a:ln w="9525">
                      <a:noFill/>
                      <a:miter lim="800000"/>
                      <a:headEnd/>
                      <a:tailEnd/>
                    </a:ln>
                  </pic:spPr>
                </pic:pic>
              </a:graphicData>
            </a:graphic>
          </wp:inline>
        </w:drawing>
      </w:r>
    </w:p>
    <w:p w:rsidR="00246D68" w:rsidRPr="00246D68" w:rsidRDefault="00246D68" w:rsidP="00246D68"/>
    <w:p w:rsidR="00246D68" w:rsidRPr="00246D68" w:rsidRDefault="00246D68" w:rsidP="00246D68"/>
    <w:p w:rsidR="00246D68" w:rsidRDefault="00246D68" w:rsidP="00246D68">
      <w:pPr>
        <w:pStyle w:val="Caption"/>
      </w:pPr>
      <w:r>
        <w:t>Figure 5.8 (continued): Average Maximum Abutment Displacements – Series 2</w:t>
      </w:r>
    </w:p>
    <w:p w:rsidR="00246D68" w:rsidRDefault="00246D68">
      <w:pPr>
        <w:spacing w:line="240" w:lineRule="auto"/>
      </w:pPr>
      <w:r>
        <w:br w:type="page"/>
      </w:r>
    </w:p>
    <w:p w:rsidR="00246D68" w:rsidRDefault="00522D5B" w:rsidP="00246D68">
      <w:pPr>
        <w:jc w:val="center"/>
      </w:pPr>
      <w:r w:rsidRPr="00522D5B">
        <w:rPr>
          <w:noProof/>
        </w:rPr>
        <w:lastRenderedPageBreak/>
        <w:drawing>
          <wp:inline distT="0" distB="0" distL="0" distR="0">
            <wp:extent cx="4768215" cy="6243955"/>
            <wp:effectExtent l="0" t="0" r="0" b="0"/>
            <wp:docPr id="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srcRect/>
                    <a:stretch>
                      <a:fillRect/>
                    </a:stretch>
                  </pic:blipFill>
                  <pic:spPr bwMode="auto">
                    <a:xfrm>
                      <a:off x="0" y="0"/>
                      <a:ext cx="4768215" cy="6243955"/>
                    </a:xfrm>
                    <a:prstGeom prst="rect">
                      <a:avLst/>
                    </a:prstGeom>
                    <a:noFill/>
                    <a:ln w="9525">
                      <a:noFill/>
                      <a:miter lim="800000"/>
                      <a:headEnd/>
                      <a:tailEnd/>
                    </a:ln>
                  </pic:spPr>
                </pic:pic>
              </a:graphicData>
            </a:graphic>
          </wp:inline>
        </w:drawing>
      </w:r>
    </w:p>
    <w:p w:rsidR="00246D68" w:rsidRDefault="00246D68" w:rsidP="00246D68"/>
    <w:p w:rsidR="00246D68" w:rsidRDefault="00246D68" w:rsidP="00246D68"/>
    <w:p w:rsidR="00246D68" w:rsidRDefault="00246D68" w:rsidP="00246D68">
      <w:pPr>
        <w:pStyle w:val="Caption"/>
      </w:pPr>
      <w:r>
        <w:t>Figure 5.8 (continued): Average Maximum Abutment Displacements – Series 2</w:t>
      </w:r>
    </w:p>
    <w:p w:rsidR="00246D68" w:rsidRPr="00246D68" w:rsidRDefault="00246D68" w:rsidP="00246D68"/>
    <w:p w:rsidR="006075CD" w:rsidRDefault="006075CD">
      <w:pPr>
        <w:spacing w:line="240" w:lineRule="auto"/>
        <w:rPr>
          <w:b/>
          <w:bCs/>
        </w:rPr>
      </w:pPr>
      <w:r>
        <w:br w:type="page"/>
      </w:r>
    </w:p>
    <w:p w:rsidR="006075CD" w:rsidRDefault="006075CD" w:rsidP="006075CD">
      <w:pPr>
        <w:pStyle w:val="Heading3"/>
      </w:pPr>
      <w:bookmarkStart w:id="48" w:name="_Toc193615448"/>
      <w:r>
        <w:lastRenderedPageBreak/>
        <w:t>Series 3 – Backfill Strength</w:t>
      </w:r>
      <w:bookmarkEnd w:id="48"/>
    </w:p>
    <w:p w:rsidR="006075CD" w:rsidRDefault="00432735" w:rsidP="00432735">
      <w:pPr>
        <w:ind w:firstLine="720"/>
      </w:pPr>
      <w:r>
        <w:t xml:space="preserve">The numerical results of the Series 3 models </w:t>
      </w:r>
      <w:r w:rsidR="00EF7BF1">
        <w:t xml:space="preserve">evaluating the influence of backfill strength </w:t>
      </w:r>
      <w:r>
        <w:t xml:space="preserve">are presented in </w:t>
      </w:r>
      <w:r w:rsidR="00CD6D06">
        <w:fldChar w:fldCharType="begin"/>
      </w:r>
      <w:r>
        <w:instrText xml:space="preserve"> REF _Ref193018447 \h </w:instrText>
      </w:r>
      <w:r w:rsidR="00CD6D06">
        <w:fldChar w:fldCharType="separate"/>
      </w:r>
      <w:r w:rsidR="00EF3F11">
        <w:t xml:space="preserve">Table </w:t>
      </w:r>
      <w:r w:rsidR="00EF3F11">
        <w:rPr>
          <w:noProof/>
        </w:rPr>
        <w:t>5</w:t>
      </w:r>
      <w:r w:rsidR="00EF3F11">
        <w:t>.</w:t>
      </w:r>
      <w:r w:rsidR="00EF3F11">
        <w:rPr>
          <w:noProof/>
        </w:rPr>
        <w:t>6</w:t>
      </w:r>
      <w:r w:rsidR="00CD6D06">
        <w:fldChar w:fldCharType="end"/>
      </w:r>
      <w:r>
        <w:t xml:space="preserve">.  The average maximum displacement values are presented in graphical form in </w:t>
      </w:r>
      <w:r w:rsidR="00CD6D06">
        <w:fldChar w:fldCharType="begin"/>
      </w:r>
      <w:r>
        <w:instrText xml:space="preserve"> REF _Ref193018474 \h </w:instrText>
      </w:r>
      <w:r w:rsidR="00CD6D06">
        <w:fldChar w:fldCharType="separate"/>
      </w:r>
      <w:r w:rsidR="00EF3F11">
        <w:t xml:space="preserve">Figure </w:t>
      </w:r>
      <w:r w:rsidR="00EF3F11">
        <w:rPr>
          <w:noProof/>
        </w:rPr>
        <w:t>5</w:t>
      </w:r>
      <w:r w:rsidR="00EF3F11">
        <w:t>.</w:t>
      </w:r>
      <w:r w:rsidR="00EF3F11">
        <w:rPr>
          <w:noProof/>
        </w:rPr>
        <w:t>11</w:t>
      </w:r>
      <w:r w:rsidR="00CD6D06">
        <w:fldChar w:fldCharType="end"/>
      </w:r>
      <w:r>
        <w:t xml:space="preserve">.  For </w:t>
      </w:r>
      <w:r w:rsidR="00EF7BF1">
        <w:t>comparison</w:t>
      </w:r>
      <w:r>
        <w:t xml:space="preserve">, the results of Series 2 for </w:t>
      </w:r>
      <w:r w:rsidRPr="00432735">
        <w:rPr>
          <w:i/>
        </w:rPr>
        <w:t>n</w:t>
      </w:r>
      <w:r w:rsidRPr="00432735">
        <w:rPr>
          <w:i/>
          <w:vertAlign w:val="subscript"/>
        </w:rPr>
        <w:t>h</w:t>
      </w:r>
      <w:r w:rsidRPr="00432735">
        <w:rPr>
          <w:vertAlign w:val="subscript"/>
        </w:rPr>
        <w:t xml:space="preserve"> </w:t>
      </w:r>
      <w:r>
        <w:t>= 11,000 psf/in</w:t>
      </w:r>
      <w:r w:rsidR="00EF7BF1">
        <w:t xml:space="preserve"> and P</w:t>
      </w:r>
      <w:r w:rsidR="00EF7BF1" w:rsidRPr="00EF7BF1">
        <w:rPr>
          <w:vertAlign w:val="subscript"/>
        </w:rPr>
        <w:t>max</w:t>
      </w:r>
      <w:r w:rsidR="00EF7BF1">
        <w:t xml:space="preserve"> = P</w:t>
      </w:r>
      <w:r w:rsidR="00EF7BF1" w:rsidRPr="00EF7BF1">
        <w:rPr>
          <w:vertAlign w:val="subscript"/>
        </w:rPr>
        <w:t>p</w:t>
      </w:r>
      <w:r w:rsidR="00EF7BF1">
        <w:t xml:space="preserve"> </w:t>
      </w:r>
      <w:r>
        <w:t>have been reproduced in the figure.</w:t>
      </w:r>
      <w:r w:rsidR="009E6A5C">
        <w:t xml:space="preserve">  The zero-damage and acceptable-damage displacement limits determined in Chapter 4 are also shown.</w:t>
      </w:r>
    </w:p>
    <w:p w:rsidR="00501743" w:rsidRDefault="0068163F" w:rsidP="00432735">
      <w:pPr>
        <w:ind w:firstLine="720"/>
      </w:pPr>
      <w:r>
        <w:t xml:space="preserve">As shown, varying the ultimate strength of the backfill material had relatively little effect on the displacements of the abutment.  In no case did the computed </w:t>
      </w:r>
      <w:r w:rsidR="00EF7BF1">
        <w:t>displacements</w:t>
      </w:r>
      <w:r>
        <w:t xml:space="preserve"> exceed the zero-damage limit.</w:t>
      </w:r>
    </w:p>
    <w:p w:rsidR="006075CD" w:rsidRDefault="006075CD">
      <w:pPr>
        <w:spacing w:line="240" w:lineRule="auto"/>
      </w:pPr>
      <w:r>
        <w:br w:type="page"/>
      </w:r>
    </w:p>
    <w:p w:rsidR="006075CD" w:rsidRDefault="001F4666">
      <w:pPr>
        <w:spacing w:line="240" w:lineRule="auto"/>
      </w:pPr>
      <w:r w:rsidRPr="001F4666">
        <w:rPr>
          <w:noProof/>
        </w:rPr>
        <w:lastRenderedPageBreak/>
        <w:drawing>
          <wp:anchor distT="0" distB="0" distL="114300" distR="114300" simplePos="0" relativeHeight="251698176" behindDoc="0" locked="0" layoutInCell="1" allowOverlap="1">
            <wp:simplePos x="0" y="0"/>
            <wp:positionH relativeFrom="column">
              <wp:posOffset>-810124</wp:posOffset>
            </wp:positionH>
            <wp:positionV relativeFrom="paragraph">
              <wp:posOffset>2210344</wp:posOffset>
            </wp:positionV>
            <wp:extent cx="6492240" cy="3500392"/>
            <wp:effectExtent l="0" t="1504950" r="0" b="1471658"/>
            <wp:wrapNone/>
            <wp:docPr id="5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srcRect/>
                    <a:stretch>
                      <a:fillRect/>
                    </a:stretch>
                  </pic:blipFill>
                  <pic:spPr bwMode="auto">
                    <a:xfrm rot="16200000">
                      <a:off x="0" y="0"/>
                      <a:ext cx="6492240" cy="3500392"/>
                    </a:xfrm>
                    <a:prstGeom prst="rect">
                      <a:avLst/>
                    </a:prstGeom>
                    <a:noFill/>
                    <a:ln w="9525">
                      <a:noFill/>
                      <a:miter lim="800000"/>
                      <a:headEnd/>
                      <a:tailEnd/>
                    </a:ln>
                  </pic:spPr>
                </pic:pic>
              </a:graphicData>
            </a:graphic>
          </wp:anchor>
        </w:drawing>
      </w:r>
      <w:r w:rsidR="00CD6D06">
        <w:rPr>
          <w:noProof/>
        </w:rPr>
        <w:pict>
          <v:shape id="_x0000_s1034" type="#_x0000_t202" style="position:absolute;margin-left:6pt;margin-top:18pt;width:42pt;height:585pt;z-index:251676672;mso-position-horizontal-relative:text;mso-position-vertical-relative:text;mso-width-relative:margin;mso-height-relative:margin;v-text-anchor:middle" stroked="f">
            <v:textbox style="layout-flow:vertical;mso-layout-flow-alt:bottom-to-top;mso-next-textbox:#_x0000_s1034">
              <w:txbxContent>
                <w:p w:rsidR="00B9209B" w:rsidRPr="004A28B4" w:rsidRDefault="00B9209B" w:rsidP="006075CD">
                  <w:pPr>
                    <w:pStyle w:val="Caption"/>
                    <w:rPr>
                      <w:b w:val="0"/>
                    </w:rPr>
                  </w:pPr>
                  <w:bookmarkStart w:id="49" w:name="_Ref193018447"/>
                  <w:bookmarkStart w:id="50" w:name="_Toc193615473"/>
                  <w:r>
                    <w:t xml:space="preserve">Table </w:t>
                  </w:r>
                  <w:fldSimple w:instr=" STYLEREF 1 \s ">
                    <w:r w:rsidR="00EF3F11">
                      <w:rPr>
                        <w:noProof/>
                      </w:rPr>
                      <w:t>5</w:t>
                    </w:r>
                  </w:fldSimple>
                  <w:r>
                    <w:t>.</w:t>
                  </w:r>
                  <w:fldSimple w:instr=" SEQ Table \* ARABIC \s 1 ">
                    <w:r w:rsidR="00EF3F11">
                      <w:rPr>
                        <w:noProof/>
                      </w:rPr>
                      <w:t>6</w:t>
                    </w:r>
                  </w:fldSimple>
                  <w:bookmarkEnd w:id="49"/>
                  <w:r>
                    <w:t xml:space="preserve">: </w:t>
                  </w:r>
                  <w:r w:rsidRPr="004A28B4">
                    <w:t>Maximum Abutment Displace</w:t>
                  </w:r>
                  <w:r>
                    <w:t>ments (in.) – Series 3</w:t>
                  </w:r>
                  <w:bookmarkEnd w:id="50"/>
                </w:p>
              </w:txbxContent>
            </v:textbox>
          </v:shape>
        </w:pict>
      </w:r>
      <w:r w:rsidR="006075CD">
        <w:br w:type="page"/>
      </w:r>
      <w:r>
        <w:rPr>
          <w:noProof/>
        </w:rPr>
        <w:lastRenderedPageBreak/>
        <w:drawing>
          <wp:anchor distT="0" distB="0" distL="114300" distR="114300" simplePos="0" relativeHeight="251699200" behindDoc="0" locked="0" layoutInCell="1" allowOverlap="1">
            <wp:simplePos x="0" y="0"/>
            <wp:positionH relativeFrom="column">
              <wp:posOffset>-809897</wp:posOffset>
            </wp:positionH>
            <wp:positionV relativeFrom="paragraph">
              <wp:posOffset>2205219</wp:posOffset>
            </wp:positionV>
            <wp:extent cx="6492240" cy="3499122"/>
            <wp:effectExtent l="0" t="1504950" r="0" b="1472928"/>
            <wp:wrapNone/>
            <wp:docPr id="5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srcRect/>
                    <a:stretch>
                      <a:fillRect/>
                    </a:stretch>
                  </pic:blipFill>
                  <pic:spPr bwMode="auto">
                    <a:xfrm rot="16200000">
                      <a:off x="0" y="0"/>
                      <a:ext cx="6492240" cy="3499122"/>
                    </a:xfrm>
                    <a:prstGeom prst="rect">
                      <a:avLst/>
                    </a:prstGeom>
                    <a:noFill/>
                    <a:ln w="9525">
                      <a:noFill/>
                      <a:miter lim="800000"/>
                      <a:headEnd/>
                      <a:tailEnd/>
                    </a:ln>
                  </pic:spPr>
                </pic:pic>
              </a:graphicData>
            </a:graphic>
          </wp:anchor>
        </w:drawing>
      </w:r>
      <w:r w:rsidR="00CD6D06">
        <w:rPr>
          <w:noProof/>
        </w:rPr>
        <w:pict>
          <v:shape id="_x0000_s1035" type="#_x0000_t202" style="position:absolute;margin-left:6pt;margin-top:18pt;width:42pt;height:585pt;z-index:251678720;mso-position-horizontal-relative:text;mso-position-vertical-relative:text;mso-width-relative:margin;mso-height-relative:margin;v-text-anchor:middle" stroked="f">
            <v:textbox style="layout-flow:vertical;mso-layout-flow-alt:bottom-to-top;mso-next-textbox:#_x0000_s1035">
              <w:txbxContent>
                <w:p w:rsidR="00B9209B" w:rsidRPr="004A28B4" w:rsidRDefault="00B9209B" w:rsidP="006075CD">
                  <w:pPr>
                    <w:jc w:val="center"/>
                    <w:rPr>
                      <w:b/>
                    </w:rPr>
                  </w:pPr>
                  <w:r w:rsidRPr="004A28B4">
                    <w:rPr>
                      <w:b/>
                    </w:rPr>
                    <w:t>Table 5</w:t>
                  </w:r>
                  <w:r>
                    <w:rPr>
                      <w:b/>
                    </w:rPr>
                    <w:t>.6</w:t>
                  </w:r>
                  <w:r w:rsidRPr="004A28B4">
                    <w:rPr>
                      <w:b/>
                    </w:rPr>
                    <w:t xml:space="preserve"> (continued) : Maximum </w:t>
                  </w:r>
                  <w:r>
                    <w:rPr>
                      <w:b/>
                    </w:rPr>
                    <w:t>Abutment Displacements (in.) – Series 3</w:t>
                  </w:r>
                </w:p>
              </w:txbxContent>
            </v:textbox>
          </v:shape>
        </w:pict>
      </w:r>
      <w:r w:rsidR="006075CD">
        <w:br w:type="page"/>
      </w:r>
    </w:p>
    <w:p w:rsidR="006075CD" w:rsidRDefault="00E744AA" w:rsidP="00E744AA">
      <w:pPr>
        <w:spacing w:line="240" w:lineRule="auto"/>
        <w:jc w:val="center"/>
      </w:pPr>
      <w:r w:rsidRPr="00E744AA">
        <w:rPr>
          <w:noProof/>
        </w:rPr>
        <w:lastRenderedPageBreak/>
        <w:drawing>
          <wp:inline distT="0" distB="0" distL="0" distR="0">
            <wp:extent cx="4768215" cy="6243955"/>
            <wp:effectExtent l="0" t="0" r="0" b="0"/>
            <wp:docPr id="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srcRect/>
                    <a:stretch>
                      <a:fillRect/>
                    </a:stretch>
                  </pic:blipFill>
                  <pic:spPr bwMode="auto">
                    <a:xfrm>
                      <a:off x="0" y="0"/>
                      <a:ext cx="4768215" cy="6243955"/>
                    </a:xfrm>
                    <a:prstGeom prst="rect">
                      <a:avLst/>
                    </a:prstGeom>
                    <a:noFill/>
                    <a:ln w="9525">
                      <a:noFill/>
                      <a:miter lim="800000"/>
                      <a:headEnd/>
                      <a:tailEnd/>
                    </a:ln>
                  </pic:spPr>
                </pic:pic>
              </a:graphicData>
            </a:graphic>
          </wp:inline>
        </w:drawing>
      </w:r>
    </w:p>
    <w:p w:rsidR="005722DF" w:rsidRDefault="005722DF" w:rsidP="00E744AA">
      <w:pPr>
        <w:spacing w:line="240" w:lineRule="auto"/>
        <w:jc w:val="center"/>
      </w:pPr>
    </w:p>
    <w:p w:rsidR="00E744AA" w:rsidRDefault="00E744AA" w:rsidP="00E744AA">
      <w:pPr>
        <w:spacing w:line="240" w:lineRule="auto"/>
        <w:jc w:val="center"/>
      </w:pPr>
    </w:p>
    <w:p w:rsidR="00E744AA" w:rsidRDefault="00E744AA" w:rsidP="00E744AA">
      <w:pPr>
        <w:spacing w:line="240" w:lineRule="auto"/>
        <w:jc w:val="center"/>
      </w:pPr>
    </w:p>
    <w:p w:rsidR="00E744AA" w:rsidRDefault="005722DF" w:rsidP="005722DF">
      <w:pPr>
        <w:pStyle w:val="Caption"/>
      </w:pPr>
      <w:bookmarkStart w:id="51" w:name="_Ref193018474"/>
      <w:bookmarkStart w:id="52" w:name="_Toc193615526"/>
      <w:r>
        <w:t xml:space="preserve">Figure </w:t>
      </w:r>
      <w:fldSimple w:instr=" STYLEREF 1 \s ">
        <w:r w:rsidR="00EF3F11">
          <w:rPr>
            <w:noProof/>
          </w:rPr>
          <w:t>5</w:t>
        </w:r>
      </w:fldSimple>
      <w:r w:rsidR="00630774">
        <w:t>.</w:t>
      </w:r>
      <w:fldSimple w:instr=" SEQ Figure \* ARABIC \s 1 ">
        <w:r w:rsidR="00EF3F11">
          <w:rPr>
            <w:noProof/>
          </w:rPr>
          <w:t>11</w:t>
        </w:r>
      </w:fldSimple>
      <w:bookmarkEnd w:id="51"/>
      <w:r>
        <w:t>: Average Maximum Abutment Displacements – Series 3</w:t>
      </w:r>
      <w:bookmarkEnd w:id="52"/>
    </w:p>
    <w:p w:rsidR="00E744AA" w:rsidRDefault="00E744AA">
      <w:pPr>
        <w:spacing w:line="240" w:lineRule="auto"/>
      </w:pPr>
      <w:r>
        <w:br w:type="page"/>
      </w:r>
    </w:p>
    <w:p w:rsidR="00E744AA" w:rsidRDefault="00D33022" w:rsidP="00E744AA">
      <w:pPr>
        <w:spacing w:line="240" w:lineRule="auto"/>
        <w:jc w:val="center"/>
      </w:pPr>
      <w:r w:rsidRPr="00D33022">
        <w:rPr>
          <w:noProof/>
        </w:rPr>
        <w:lastRenderedPageBreak/>
        <w:drawing>
          <wp:inline distT="0" distB="0" distL="0" distR="0">
            <wp:extent cx="4768215" cy="6243955"/>
            <wp:effectExtent l="0" t="0" r="0" b="0"/>
            <wp:docPr id="5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srcRect/>
                    <a:stretch>
                      <a:fillRect/>
                    </a:stretch>
                  </pic:blipFill>
                  <pic:spPr bwMode="auto">
                    <a:xfrm>
                      <a:off x="0" y="0"/>
                      <a:ext cx="4768215" cy="6243955"/>
                    </a:xfrm>
                    <a:prstGeom prst="rect">
                      <a:avLst/>
                    </a:prstGeom>
                    <a:noFill/>
                    <a:ln w="9525">
                      <a:noFill/>
                      <a:miter lim="800000"/>
                      <a:headEnd/>
                      <a:tailEnd/>
                    </a:ln>
                  </pic:spPr>
                </pic:pic>
              </a:graphicData>
            </a:graphic>
          </wp:inline>
        </w:drawing>
      </w:r>
    </w:p>
    <w:p w:rsidR="00E744AA" w:rsidRDefault="00E744AA" w:rsidP="00E744AA">
      <w:pPr>
        <w:spacing w:line="240" w:lineRule="auto"/>
        <w:jc w:val="center"/>
      </w:pPr>
    </w:p>
    <w:p w:rsidR="00E744AA" w:rsidRDefault="00E744AA" w:rsidP="00E744AA">
      <w:pPr>
        <w:spacing w:line="240" w:lineRule="auto"/>
        <w:jc w:val="center"/>
      </w:pPr>
    </w:p>
    <w:p w:rsidR="00E744AA" w:rsidRDefault="00E744AA" w:rsidP="00E744AA">
      <w:pPr>
        <w:spacing w:line="240" w:lineRule="auto"/>
        <w:jc w:val="center"/>
      </w:pPr>
    </w:p>
    <w:p w:rsidR="005722DF" w:rsidRPr="005722DF" w:rsidRDefault="005722DF" w:rsidP="00E744AA">
      <w:pPr>
        <w:spacing w:line="240" w:lineRule="auto"/>
        <w:jc w:val="center"/>
        <w:rPr>
          <w:b/>
        </w:rPr>
      </w:pPr>
      <w:r w:rsidRPr="005722DF">
        <w:rPr>
          <w:b/>
        </w:rPr>
        <w:t>Figure 5.9 (continued): Average Maximum Abutment Displacements – Series 3</w:t>
      </w:r>
    </w:p>
    <w:p w:rsidR="00E744AA" w:rsidRDefault="00E744AA">
      <w:pPr>
        <w:spacing w:line="240" w:lineRule="auto"/>
      </w:pPr>
      <w:r>
        <w:br w:type="page"/>
      </w:r>
    </w:p>
    <w:p w:rsidR="00E744AA" w:rsidRDefault="00D33022" w:rsidP="00E744AA">
      <w:pPr>
        <w:spacing w:line="240" w:lineRule="auto"/>
        <w:jc w:val="center"/>
      </w:pPr>
      <w:r w:rsidRPr="00D33022">
        <w:rPr>
          <w:noProof/>
        </w:rPr>
        <w:lastRenderedPageBreak/>
        <w:drawing>
          <wp:inline distT="0" distB="0" distL="0" distR="0">
            <wp:extent cx="4768215" cy="6243955"/>
            <wp:effectExtent l="0" t="0" r="0" b="0"/>
            <wp:docPr id="5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srcRect/>
                    <a:stretch>
                      <a:fillRect/>
                    </a:stretch>
                  </pic:blipFill>
                  <pic:spPr bwMode="auto">
                    <a:xfrm>
                      <a:off x="0" y="0"/>
                      <a:ext cx="4768215" cy="6243955"/>
                    </a:xfrm>
                    <a:prstGeom prst="rect">
                      <a:avLst/>
                    </a:prstGeom>
                    <a:noFill/>
                    <a:ln w="9525">
                      <a:noFill/>
                      <a:miter lim="800000"/>
                      <a:headEnd/>
                      <a:tailEnd/>
                    </a:ln>
                  </pic:spPr>
                </pic:pic>
              </a:graphicData>
            </a:graphic>
          </wp:inline>
        </w:drawing>
      </w:r>
    </w:p>
    <w:p w:rsidR="00E744AA" w:rsidRDefault="00E744AA" w:rsidP="00E744AA">
      <w:pPr>
        <w:spacing w:line="240" w:lineRule="auto"/>
        <w:jc w:val="center"/>
      </w:pPr>
    </w:p>
    <w:p w:rsidR="00E744AA" w:rsidRDefault="00E744AA" w:rsidP="00E744AA">
      <w:pPr>
        <w:spacing w:line="240" w:lineRule="auto"/>
        <w:jc w:val="center"/>
      </w:pPr>
    </w:p>
    <w:p w:rsidR="00E744AA" w:rsidRDefault="00E744AA" w:rsidP="00E744AA">
      <w:pPr>
        <w:spacing w:line="240" w:lineRule="auto"/>
        <w:jc w:val="center"/>
      </w:pPr>
    </w:p>
    <w:p w:rsidR="005722DF" w:rsidRPr="005722DF" w:rsidRDefault="005722DF" w:rsidP="005722DF">
      <w:pPr>
        <w:spacing w:line="240" w:lineRule="auto"/>
        <w:jc w:val="center"/>
        <w:rPr>
          <w:b/>
        </w:rPr>
      </w:pPr>
      <w:r w:rsidRPr="005722DF">
        <w:rPr>
          <w:b/>
        </w:rPr>
        <w:t>Figure 5.9 (continued): Average Maximum Abutment Displacements – Series 3</w:t>
      </w:r>
    </w:p>
    <w:p w:rsidR="005722DF" w:rsidRDefault="005722DF" w:rsidP="00E744AA">
      <w:pPr>
        <w:spacing w:line="240" w:lineRule="auto"/>
        <w:jc w:val="center"/>
      </w:pPr>
    </w:p>
    <w:p w:rsidR="00E744AA" w:rsidRDefault="00E744AA">
      <w:pPr>
        <w:spacing w:line="240" w:lineRule="auto"/>
      </w:pPr>
      <w:r>
        <w:br w:type="page"/>
      </w:r>
    </w:p>
    <w:p w:rsidR="00E744AA" w:rsidRDefault="00D33022" w:rsidP="00E744AA">
      <w:pPr>
        <w:spacing w:line="240" w:lineRule="auto"/>
        <w:jc w:val="center"/>
      </w:pPr>
      <w:r w:rsidRPr="00D33022">
        <w:rPr>
          <w:noProof/>
        </w:rPr>
        <w:lastRenderedPageBreak/>
        <w:drawing>
          <wp:inline distT="0" distB="0" distL="0" distR="0">
            <wp:extent cx="4768215" cy="6243955"/>
            <wp:effectExtent l="0" t="0" r="0" b="0"/>
            <wp:docPr id="5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srcRect/>
                    <a:stretch>
                      <a:fillRect/>
                    </a:stretch>
                  </pic:blipFill>
                  <pic:spPr bwMode="auto">
                    <a:xfrm>
                      <a:off x="0" y="0"/>
                      <a:ext cx="4768215" cy="6243955"/>
                    </a:xfrm>
                    <a:prstGeom prst="rect">
                      <a:avLst/>
                    </a:prstGeom>
                    <a:noFill/>
                    <a:ln w="9525">
                      <a:noFill/>
                      <a:miter lim="800000"/>
                      <a:headEnd/>
                      <a:tailEnd/>
                    </a:ln>
                  </pic:spPr>
                </pic:pic>
              </a:graphicData>
            </a:graphic>
          </wp:inline>
        </w:drawing>
      </w:r>
    </w:p>
    <w:p w:rsidR="00E744AA" w:rsidRDefault="00E744AA" w:rsidP="00E744AA">
      <w:pPr>
        <w:spacing w:line="240" w:lineRule="auto"/>
        <w:jc w:val="center"/>
      </w:pPr>
    </w:p>
    <w:p w:rsidR="00E744AA" w:rsidRDefault="00E744AA" w:rsidP="00E744AA">
      <w:pPr>
        <w:spacing w:line="240" w:lineRule="auto"/>
        <w:jc w:val="center"/>
      </w:pPr>
    </w:p>
    <w:p w:rsidR="00E744AA" w:rsidRDefault="00E744AA" w:rsidP="00E744AA">
      <w:pPr>
        <w:spacing w:line="240" w:lineRule="auto"/>
        <w:jc w:val="center"/>
      </w:pPr>
    </w:p>
    <w:p w:rsidR="005722DF" w:rsidRPr="005722DF" w:rsidRDefault="005722DF" w:rsidP="005722DF">
      <w:pPr>
        <w:spacing w:line="240" w:lineRule="auto"/>
        <w:jc w:val="center"/>
        <w:rPr>
          <w:b/>
        </w:rPr>
      </w:pPr>
      <w:r w:rsidRPr="005722DF">
        <w:rPr>
          <w:b/>
        </w:rPr>
        <w:t>Figure 5.9 (continued): Average Maximum Abutment Displacements – Series 3</w:t>
      </w:r>
    </w:p>
    <w:p w:rsidR="005722DF" w:rsidRDefault="005722DF" w:rsidP="00E744AA">
      <w:pPr>
        <w:spacing w:line="240" w:lineRule="auto"/>
        <w:jc w:val="center"/>
      </w:pPr>
    </w:p>
    <w:p w:rsidR="00E744AA" w:rsidRDefault="00E744AA" w:rsidP="00E744AA">
      <w:pPr>
        <w:spacing w:line="240" w:lineRule="auto"/>
        <w:jc w:val="center"/>
      </w:pPr>
    </w:p>
    <w:p w:rsidR="006075CD" w:rsidRPr="006075CD" w:rsidRDefault="006075CD" w:rsidP="006075CD"/>
    <w:p w:rsidR="00AA6B5E" w:rsidRDefault="00AA6B5E">
      <w:pPr>
        <w:spacing w:line="240" w:lineRule="auto"/>
        <w:rPr>
          <w:rFonts w:cs="Arial"/>
          <w:b/>
          <w:bCs/>
        </w:rPr>
      </w:pPr>
      <w:r>
        <w:br w:type="page"/>
      </w:r>
    </w:p>
    <w:p w:rsidR="006075CD" w:rsidRDefault="006075CD" w:rsidP="006075CD">
      <w:pPr>
        <w:pStyle w:val="Heading3"/>
      </w:pPr>
      <w:bookmarkStart w:id="53" w:name="_Toc193615449"/>
      <w:r>
        <w:lastRenderedPageBreak/>
        <w:t>Series 4 – Span Length</w:t>
      </w:r>
      <w:bookmarkEnd w:id="53"/>
    </w:p>
    <w:p w:rsidR="00432735" w:rsidRDefault="00432735" w:rsidP="00432735">
      <w:pPr>
        <w:ind w:firstLine="720"/>
      </w:pPr>
      <w:r>
        <w:t xml:space="preserve">The numerical results of the Series 4 models are presented in </w:t>
      </w:r>
      <w:r w:rsidR="00CD6D06">
        <w:fldChar w:fldCharType="begin"/>
      </w:r>
      <w:r>
        <w:instrText xml:space="preserve"> REF _Ref193018609 \h </w:instrText>
      </w:r>
      <w:r w:rsidR="00CD6D06">
        <w:fldChar w:fldCharType="separate"/>
      </w:r>
      <w:r w:rsidR="00EF3F11">
        <w:t xml:space="preserve">Table </w:t>
      </w:r>
      <w:r w:rsidR="00EF3F11">
        <w:rPr>
          <w:noProof/>
        </w:rPr>
        <w:t>5</w:t>
      </w:r>
      <w:r w:rsidR="00EF3F11">
        <w:t>.</w:t>
      </w:r>
      <w:r w:rsidR="00EF3F11">
        <w:rPr>
          <w:noProof/>
        </w:rPr>
        <w:t>7</w:t>
      </w:r>
      <w:r w:rsidR="00CD6D06">
        <w:fldChar w:fldCharType="end"/>
      </w:r>
      <w:r w:rsidR="00BF74A0">
        <w:t xml:space="preserve"> to evaluate the influence of bridge span length</w:t>
      </w:r>
      <w:r>
        <w:t xml:space="preserve">.  The average maximum displacement values are presented in graphical form in </w:t>
      </w:r>
      <w:r w:rsidR="00CD6D06">
        <w:fldChar w:fldCharType="begin"/>
      </w:r>
      <w:r>
        <w:instrText xml:space="preserve"> REF _Ref193018629 \h </w:instrText>
      </w:r>
      <w:r w:rsidR="00CD6D06">
        <w:fldChar w:fldCharType="separate"/>
      </w:r>
      <w:r w:rsidR="00EF3F11">
        <w:t xml:space="preserve">Figure </w:t>
      </w:r>
      <w:r w:rsidR="00EF3F11">
        <w:rPr>
          <w:noProof/>
        </w:rPr>
        <w:t>5</w:t>
      </w:r>
      <w:r w:rsidR="00EF3F11">
        <w:t>.</w:t>
      </w:r>
      <w:r w:rsidR="00EF3F11">
        <w:rPr>
          <w:noProof/>
        </w:rPr>
        <w:t>12</w:t>
      </w:r>
      <w:r w:rsidR="00CD6D06">
        <w:fldChar w:fldCharType="end"/>
      </w:r>
      <w:r>
        <w:t xml:space="preserve">.  For reference, the results of Series 2 for </w:t>
      </w:r>
      <w:r w:rsidRPr="00432735">
        <w:rPr>
          <w:i/>
        </w:rPr>
        <w:t>n</w:t>
      </w:r>
      <w:r w:rsidRPr="00432735">
        <w:rPr>
          <w:i/>
          <w:vertAlign w:val="subscript"/>
        </w:rPr>
        <w:t>h</w:t>
      </w:r>
      <w:r w:rsidRPr="00432735">
        <w:rPr>
          <w:vertAlign w:val="subscript"/>
        </w:rPr>
        <w:t xml:space="preserve"> </w:t>
      </w:r>
      <w:r>
        <w:t>= 11,000 psf/in. have been reproduced in the figure.</w:t>
      </w:r>
      <w:r w:rsidR="009E6A5C">
        <w:t xml:space="preserve">  </w:t>
      </w:r>
      <w:r w:rsidR="00165758">
        <w:t xml:space="preserve">The only difference between this case and Series 4 is span length.  </w:t>
      </w:r>
      <w:r w:rsidR="009E6A5C">
        <w:t>The zero-damage and acceptable-damage displacement limits determined in Chapter 4 are also shown.</w:t>
      </w:r>
    </w:p>
    <w:p w:rsidR="006075CD" w:rsidRDefault="0068163F" w:rsidP="0068163F">
      <w:pPr>
        <w:ind w:firstLine="720"/>
      </w:pPr>
      <w:r>
        <w:t xml:space="preserve">As shown, varying the span length of the models had relatively little effect on the displacements of the abutment.  </w:t>
      </w:r>
      <w:r w:rsidR="00EF7BF1">
        <w:t xml:space="preserve">This was expected since the use of roller supports at the intermediate piers eliminates the influence of pier stiffness.  </w:t>
      </w:r>
      <w:r>
        <w:t xml:space="preserve">In no case did the computed </w:t>
      </w:r>
      <w:r w:rsidR="00EF7BF1">
        <w:t>displacement</w:t>
      </w:r>
      <w:r>
        <w:t>s exceed the zero-damage limit.</w:t>
      </w:r>
    </w:p>
    <w:p w:rsidR="00AA6B5E" w:rsidRDefault="00AA6B5E">
      <w:pPr>
        <w:spacing w:line="240" w:lineRule="auto"/>
      </w:pPr>
      <w:r>
        <w:br w:type="page"/>
      </w:r>
    </w:p>
    <w:p w:rsidR="00AA6B5E" w:rsidRDefault="00BA38DA">
      <w:pPr>
        <w:spacing w:line="240" w:lineRule="auto"/>
      </w:pPr>
      <w:r w:rsidRPr="00BA38DA">
        <w:rPr>
          <w:noProof/>
        </w:rPr>
        <w:lastRenderedPageBreak/>
        <w:drawing>
          <wp:anchor distT="0" distB="0" distL="114300" distR="114300" simplePos="0" relativeHeight="251700224" behindDoc="0" locked="0" layoutInCell="1" allowOverlap="1">
            <wp:simplePos x="0" y="0"/>
            <wp:positionH relativeFrom="column">
              <wp:posOffset>-659947</wp:posOffset>
            </wp:positionH>
            <wp:positionV relativeFrom="paragraph">
              <wp:posOffset>2253887</wp:posOffset>
            </wp:positionV>
            <wp:extent cx="6165669" cy="3474176"/>
            <wp:effectExtent l="0" t="1352550" r="0" b="1326424"/>
            <wp:wrapNone/>
            <wp:docPr id="5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a:srcRect/>
                    <a:stretch>
                      <a:fillRect/>
                    </a:stretch>
                  </pic:blipFill>
                  <pic:spPr bwMode="auto">
                    <a:xfrm rot="16200000">
                      <a:off x="0" y="0"/>
                      <a:ext cx="6165669" cy="3474176"/>
                    </a:xfrm>
                    <a:prstGeom prst="rect">
                      <a:avLst/>
                    </a:prstGeom>
                    <a:noFill/>
                    <a:ln w="9525">
                      <a:noFill/>
                      <a:miter lim="800000"/>
                      <a:headEnd/>
                      <a:tailEnd/>
                    </a:ln>
                  </pic:spPr>
                </pic:pic>
              </a:graphicData>
            </a:graphic>
          </wp:anchor>
        </w:drawing>
      </w:r>
      <w:r w:rsidR="00CD6D06">
        <w:rPr>
          <w:noProof/>
        </w:rPr>
        <w:pict>
          <v:shape id="_x0000_s1036" type="#_x0000_t202" style="position:absolute;margin-left:6pt;margin-top:18pt;width:42pt;height:585pt;z-index:251680768;mso-position-horizontal-relative:text;mso-position-vertical-relative:text;mso-width-relative:margin;mso-height-relative:margin;v-text-anchor:middle" stroked="f">
            <v:textbox style="layout-flow:vertical;mso-layout-flow-alt:bottom-to-top;mso-next-textbox:#_x0000_s1036">
              <w:txbxContent>
                <w:p w:rsidR="00B9209B" w:rsidRPr="004A28B4" w:rsidRDefault="00B9209B" w:rsidP="00AA6B5E">
                  <w:pPr>
                    <w:pStyle w:val="Caption"/>
                    <w:rPr>
                      <w:b w:val="0"/>
                    </w:rPr>
                  </w:pPr>
                  <w:bookmarkStart w:id="54" w:name="_Ref193018609"/>
                  <w:bookmarkStart w:id="55" w:name="_Toc193615474"/>
                  <w:r>
                    <w:t xml:space="preserve">Table </w:t>
                  </w:r>
                  <w:fldSimple w:instr=" STYLEREF 1 \s ">
                    <w:r w:rsidR="00EF3F11">
                      <w:rPr>
                        <w:noProof/>
                      </w:rPr>
                      <w:t>5</w:t>
                    </w:r>
                  </w:fldSimple>
                  <w:r>
                    <w:t>.</w:t>
                  </w:r>
                  <w:fldSimple w:instr=" SEQ Table \* ARABIC \s 1 ">
                    <w:r w:rsidR="00EF3F11">
                      <w:rPr>
                        <w:noProof/>
                      </w:rPr>
                      <w:t>7</w:t>
                    </w:r>
                  </w:fldSimple>
                  <w:bookmarkEnd w:id="54"/>
                  <w:r w:rsidRPr="004A28B4">
                    <w:t xml:space="preserve">: Maximum </w:t>
                  </w:r>
                  <w:r>
                    <w:t>Abutment Displacements (in.) – Series 4</w:t>
                  </w:r>
                  <w:bookmarkEnd w:id="55"/>
                </w:p>
              </w:txbxContent>
            </v:textbox>
          </v:shape>
        </w:pict>
      </w:r>
      <w:r w:rsidR="00AA6B5E">
        <w:br w:type="page"/>
      </w:r>
    </w:p>
    <w:p w:rsidR="0015240A" w:rsidRDefault="0015240A" w:rsidP="0015240A">
      <w:pPr>
        <w:spacing w:line="240" w:lineRule="auto"/>
        <w:jc w:val="center"/>
      </w:pPr>
      <w:r w:rsidRPr="0015240A">
        <w:rPr>
          <w:noProof/>
        </w:rPr>
        <w:lastRenderedPageBreak/>
        <w:drawing>
          <wp:inline distT="0" distB="0" distL="0" distR="0">
            <wp:extent cx="4768215" cy="6243955"/>
            <wp:effectExtent l="0" t="0" r="0" b="0"/>
            <wp:docPr id="3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srcRect/>
                    <a:stretch>
                      <a:fillRect/>
                    </a:stretch>
                  </pic:blipFill>
                  <pic:spPr bwMode="auto">
                    <a:xfrm>
                      <a:off x="0" y="0"/>
                      <a:ext cx="4768215" cy="6243955"/>
                    </a:xfrm>
                    <a:prstGeom prst="rect">
                      <a:avLst/>
                    </a:prstGeom>
                    <a:noFill/>
                    <a:ln w="9525">
                      <a:noFill/>
                      <a:miter lim="800000"/>
                      <a:headEnd/>
                      <a:tailEnd/>
                    </a:ln>
                  </pic:spPr>
                </pic:pic>
              </a:graphicData>
            </a:graphic>
          </wp:inline>
        </w:drawing>
      </w:r>
    </w:p>
    <w:p w:rsidR="0015240A" w:rsidRDefault="0015240A" w:rsidP="0015240A">
      <w:pPr>
        <w:spacing w:line="240" w:lineRule="auto"/>
        <w:jc w:val="center"/>
      </w:pPr>
    </w:p>
    <w:p w:rsidR="0015240A" w:rsidRDefault="0015240A" w:rsidP="0015240A">
      <w:pPr>
        <w:spacing w:line="240" w:lineRule="auto"/>
        <w:jc w:val="center"/>
      </w:pPr>
    </w:p>
    <w:p w:rsidR="0015240A" w:rsidRDefault="0015240A" w:rsidP="0015240A">
      <w:pPr>
        <w:spacing w:line="240" w:lineRule="auto"/>
        <w:jc w:val="center"/>
      </w:pPr>
    </w:p>
    <w:p w:rsidR="0015240A" w:rsidRDefault="0015240A" w:rsidP="0015240A">
      <w:pPr>
        <w:pStyle w:val="Caption"/>
      </w:pPr>
      <w:bookmarkStart w:id="56" w:name="_Ref193018629"/>
      <w:bookmarkStart w:id="57" w:name="_Toc193615527"/>
      <w:r>
        <w:t xml:space="preserve">Figure </w:t>
      </w:r>
      <w:fldSimple w:instr=" STYLEREF 1 \s ">
        <w:r w:rsidR="00EF3F11">
          <w:rPr>
            <w:noProof/>
          </w:rPr>
          <w:t>5</w:t>
        </w:r>
      </w:fldSimple>
      <w:r w:rsidR="00630774">
        <w:t>.</w:t>
      </w:r>
      <w:fldSimple w:instr=" SEQ Figure \* ARABIC \s 1 ">
        <w:r w:rsidR="00EF3F11">
          <w:rPr>
            <w:noProof/>
          </w:rPr>
          <w:t>12</w:t>
        </w:r>
      </w:fldSimple>
      <w:bookmarkEnd w:id="56"/>
      <w:r>
        <w:t>: Average Maximum Abutment Displacements – Series 4</w:t>
      </w:r>
      <w:bookmarkEnd w:id="57"/>
    </w:p>
    <w:p w:rsidR="0015240A" w:rsidRDefault="0015240A">
      <w:pPr>
        <w:spacing w:line="240" w:lineRule="auto"/>
      </w:pPr>
      <w:r>
        <w:br w:type="page"/>
      </w:r>
    </w:p>
    <w:p w:rsidR="0015240A" w:rsidRDefault="00BA38DA" w:rsidP="0015240A">
      <w:pPr>
        <w:spacing w:line="240" w:lineRule="auto"/>
        <w:jc w:val="center"/>
      </w:pPr>
      <w:r w:rsidRPr="00BA38DA">
        <w:rPr>
          <w:noProof/>
        </w:rPr>
        <w:lastRenderedPageBreak/>
        <w:drawing>
          <wp:inline distT="0" distB="0" distL="0" distR="0">
            <wp:extent cx="4768215" cy="6243955"/>
            <wp:effectExtent l="0" t="0" r="0" b="0"/>
            <wp:docPr id="5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srcRect/>
                    <a:stretch>
                      <a:fillRect/>
                    </a:stretch>
                  </pic:blipFill>
                  <pic:spPr bwMode="auto">
                    <a:xfrm>
                      <a:off x="0" y="0"/>
                      <a:ext cx="4768215" cy="6243955"/>
                    </a:xfrm>
                    <a:prstGeom prst="rect">
                      <a:avLst/>
                    </a:prstGeom>
                    <a:noFill/>
                    <a:ln w="9525">
                      <a:noFill/>
                      <a:miter lim="800000"/>
                      <a:headEnd/>
                      <a:tailEnd/>
                    </a:ln>
                  </pic:spPr>
                </pic:pic>
              </a:graphicData>
            </a:graphic>
          </wp:inline>
        </w:drawing>
      </w:r>
    </w:p>
    <w:p w:rsidR="0015240A" w:rsidRDefault="0015240A" w:rsidP="0015240A">
      <w:pPr>
        <w:spacing w:line="240" w:lineRule="auto"/>
        <w:jc w:val="center"/>
      </w:pPr>
    </w:p>
    <w:p w:rsidR="0015240A" w:rsidRDefault="0015240A" w:rsidP="0015240A">
      <w:pPr>
        <w:spacing w:line="240" w:lineRule="auto"/>
        <w:jc w:val="center"/>
      </w:pPr>
    </w:p>
    <w:p w:rsidR="0015240A" w:rsidRDefault="0015240A" w:rsidP="0015240A">
      <w:pPr>
        <w:spacing w:line="240" w:lineRule="auto"/>
        <w:jc w:val="center"/>
      </w:pPr>
    </w:p>
    <w:p w:rsidR="0015240A" w:rsidRPr="0015240A" w:rsidRDefault="0015240A" w:rsidP="0015240A">
      <w:pPr>
        <w:spacing w:line="240" w:lineRule="auto"/>
        <w:jc w:val="center"/>
        <w:rPr>
          <w:b/>
        </w:rPr>
      </w:pPr>
      <w:r w:rsidRPr="0015240A">
        <w:rPr>
          <w:b/>
        </w:rPr>
        <w:t>Figure 5.10 (continued): Average Maximum Abutment Displacements – Series 4</w:t>
      </w:r>
    </w:p>
    <w:p w:rsidR="0015240A" w:rsidRDefault="0015240A">
      <w:pPr>
        <w:spacing w:line="240" w:lineRule="auto"/>
      </w:pPr>
      <w:r>
        <w:br w:type="page"/>
      </w:r>
    </w:p>
    <w:p w:rsidR="0015240A" w:rsidRDefault="00BA38DA" w:rsidP="0015240A">
      <w:pPr>
        <w:spacing w:line="240" w:lineRule="auto"/>
        <w:jc w:val="center"/>
      </w:pPr>
      <w:r w:rsidRPr="00BA38DA">
        <w:rPr>
          <w:noProof/>
        </w:rPr>
        <w:lastRenderedPageBreak/>
        <w:drawing>
          <wp:inline distT="0" distB="0" distL="0" distR="0">
            <wp:extent cx="4768215" cy="6243955"/>
            <wp:effectExtent l="0" t="0" r="0" b="0"/>
            <wp:docPr id="6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a:srcRect/>
                    <a:stretch>
                      <a:fillRect/>
                    </a:stretch>
                  </pic:blipFill>
                  <pic:spPr bwMode="auto">
                    <a:xfrm>
                      <a:off x="0" y="0"/>
                      <a:ext cx="4768215" cy="6243955"/>
                    </a:xfrm>
                    <a:prstGeom prst="rect">
                      <a:avLst/>
                    </a:prstGeom>
                    <a:noFill/>
                    <a:ln w="9525">
                      <a:noFill/>
                      <a:miter lim="800000"/>
                      <a:headEnd/>
                      <a:tailEnd/>
                    </a:ln>
                  </pic:spPr>
                </pic:pic>
              </a:graphicData>
            </a:graphic>
          </wp:inline>
        </w:drawing>
      </w:r>
    </w:p>
    <w:p w:rsidR="0015240A" w:rsidRDefault="0015240A" w:rsidP="0015240A">
      <w:pPr>
        <w:spacing w:line="240" w:lineRule="auto"/>
        <w:jc w:val="center"/>
      </w:pPr>
    </w:p>
    <w:p w:rsidR="0015240A" w:rsidRDefault="0015240A" w:rsidP="0015240A">
      <w:pPr>
        <w:spacing w:line="240" w:lineRule="auto"/>
        <w:jc w:val="center"/>
      </w:pPr>
    </w:p>
    <w:p w:rsidR="0015240A" w:rsidRDefault="0015240A" w:rsidP="0015240A">
      <w:pPr>
        <w:spacing w:line="240" w:lineRule="auto"/>
        <w:jc w:val="center"/>
      </w:pPr>
    </w:p>
    <w:p w:rsidR="0015240A" w:rsidRPr="0015240A" w:rsidRDefault="0015240A" w:rsidP="0015240A">
      <w:pPr>
        <w:spacing w:line="240" w:lineRule="auto"/>
        <w:jc w:val="center"/>
        <w:rPr>
          <w:b/>
        </w:rPr>
      </w:pPr>
      <w:r w:rsidRPr="0015240A">
        <w:rPr>
          <w:b/>
        </w:rPr>
        <w:t>Figure 5.10 (continued): Average Maximum Abutment Displacements – Series 4</w:t>
      </w:r>
    </w:p>
    <w:p w:rsidR="0015240A" w:rsidRDefault="0015240A" w:rsidP="0015240A">
      <w:pPr>
        <w:spacing w:line="240" w:lineRule="auto"/>
        <w:jc w:val="center"/>
      </w:pPr>
    </w:p>
    <w:p w:rsidR="0015240A" w:rsidRDefault="0015240A">
      <w:pPr>
        <w:spacing w:line="240" w:lineRule="auto"/>
      </w:pPr>
      <w:r>
        <w:br w:type="page"/>
      </w:r>
    </w:p>
    <w:p w:rsidR="0015240A" w:rsidRDefault="00BA38DA" w:rsidP="0015240A">
      <w:pPr>
        <w:spacing w:line="240" w:lineRule="auto"/>
        <w:jc w:val="center"/>
      </w:pPr>
      <w:r w:rsidRPr="00BA38DA">
        <w:rPr>
          <w:noProof/>
        </w:rPr>
        <w:lastRenderedPageBreak/>
        <w:drawing>
          <wp:inline distT="0" distB="0" distL="0" distR="0">
            <wp:extent cx="4768215" cy="6243955"/>
            <wp:effectExtent l="0" t="0" r="0" b="0"/>
            <wp:docPr id="6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a:srcRect/>
                    <a:stretch>
                      <a:fillRect/>
                    </a:stretch>
                  </pic:blipFill>
                  <pic:spPr bwMode="auto">
                    <a:xfrm>
                      <a:off x="0" y="0"/>
                      <a:ext cx="4768215" cy="6243955"/>
                    </a:xfrm>
                    <a:prstGeom prst="rect">
                      <a:avLst/>
                    </a:prstGeom>
                    <a:noFill/>
                    <a:ln w="9525">
                      <a:noFill/>
                      <a:miter lim="800000"/>
                      <a:headEnd/>
                      <a:tailEnd/>
                    </a:ln>
                  </pic:spPr>
                </pic:pic>
              </a:graphicData>
            </a:graphic>
          </wp:inline>
        </w:drawing>
      </w:r>
    </w:p>
    <w:p w:rsidR="0015240A" w:rsidRDefault="0015240A" w:rsidP="0015240A">
      <w:pPr>
        <w:spacing w:line="240" w:lineRule="auto"/>
        <w:jc w:val="center"/>
      </w:pPr>
    </w:p>
    <w:p w:rsidR="0015240A" w:rsidRDefault="0015240A" w:rsidP="0015240A">
      <w:pPr>
        <w:spacing w:line="240" w:lineRule="auto"/>
        <w:jc w:val="center"/>
      </w:pPr>
    </w:p>
    <w:p w:rsidR="0015240A" w:rsidRDefault="0015240A" w:rsidP="0015240A">
      <w:pPr>
        <w:spacing w:line="240" w:lineRule="auto"/>
        <w:jc w:val="center"/>
      </w:pPr>
    </w:p>
    <w:p w:rsidR="0015240A" w:rsidRPr="0015240A" w:rsidRDefault="0015240A" w:rsidP="0015240A">
      <w:pPr>
        <w:spacing w:line="240" w:lineRule="auto"/>
        <w:jc w:val="center"/>
        <w:rPr>
          <w:b/>
        </w:rPr>
      </w:pPr>
      <w:r w:rsidRPr="0015240A">
        <w:rPr>
          <w:b/>
        </w:rPr>
        <w:t>Figure 5.10 (continued): Average Maximum Abutment Displacements – Series 4</w:t>
      </w:r>
    </w:p>
    <w:p w:rsidR="0015240A" w:rsidRDefault="0015240A" w:rsidP="0015240A">
      <w:pPr>
        <w:spacing w:line="240" w:lineRule="auto"/>
        <w:jc w:val="center"/>
      </w:pPr>
    </w:p>
    <w:p w:rsidR="000D487F" w:rsidRDefault="000D487F" w:rsidP="0015240A">
      <w:pPr>
        <w:spacing w:line="240" w:lineRule="auto"/>
        <w:jc w:val="center"/>
        <w:rPr>
          <w:rFonts w:cs="Arial"/>
          <w:b/>
          <w:bCs/>
        </w:rPr>
      </w:pPr>
      <w:r>
        <w:br w:type="page"/>
      </w:r>
    </w:p>
    <w:p w:rsidR="006075CD" w:rsidRDefault="006075CD" w:rsidP="006075CD">
      <w:pPr>
        <w:pStyle w:val="Heading3"/>
      </w:pPr>
      <w:bookmarkStart w:id="58" w:name="_Toc193615450"/>
      <w:r>
        <w:lastRenderedPageBreak/>
        <w:t>Series 5 – Pin Detail</w:t>
      </w:r>
      <w:bookmarkEnd w:id="58"/>
    </w:p>
    <w:p w:rsidR="00432735" w:rsidRDefault="00432735" w:rsidP="00432735">
      <w:pPr>
        <w:ind w:firstLine="720"/>
      </w:pPr>
      <w:r>
        <w:t xml:space="preserve">The numerical results of the Series 5 models </w:t>
      </w:r>
      <w:r w:rsidR="00165758">
        <w:t xml:space="preserve">evaluating the influence of the pin detail </w:t>
      </w:r>
      <w:r>
        <w:t xml:space="preserve">are presented in </w:t>
      </w:r>
      <w:r w:rsidR="00CD6D06">
        <w:fldChar w:fldCharType="begin"/>
      </w:r>
      <w:r>
        <w:instrText xml:space="preserve"> REF _Ref193017668 \h </w:instrText>
      </w:r>
      <w:r w:rsidR="00CD6D06">
        <w:fldChar w:fldCharType="separate"/>
      </w:r>
      <w:r w:rsidR="00EF3F11">
        <w:t xml:space="preserve">Table </w:t>
      </w:r>
      <w:r w:rsidR="00EF3F11">
        <w:rPr>
          <w:noProof/>
        </w:rPr>
        <w:t>5</w:t>
      </w:r>
      <w:r w:rsidR="00EF3F11">
        <w:t>.</w:t>
      </w:r>
      <w:r w:rsidR="00EF3F11">
        <w:rPr>
          <w:noProof/>
        </w:rPr>
        <w:t>8</w:t>
      </w:r>
      <w:r w:rsidR="00CD6D06">
        <w:fldChar w:fldCharType="end"/>
      </w:r>
      <w:r>
        <w:t xml:space="preserve">.  The average maximum displacement values are presented in graphical form in </w:t>
      </w:r>
      <w:r w:rsidR="00CD6D06">
        <w:fldChar w:fldCharType="begin"/>
      </w:r>
      <w:r>
        <w:instrText xml:space="preserve"> REF _Ref193018142 \h </w:instrText>
      </w:r>
      <w:r w:rsidR="00CD6D06">
        <w:fldChar w:fldCharType="separate"/>
      </w:r>
      <w:r w:rsidR="00EF3F11">
        <w:t xml:space="preserve">Figure </w:t>
      </w:r>
      <w:r w:rsidR="00EF3F11">
        <w:rPr>
          <w:noProof/>
        </w:rPr>
        <w:t>5</w:t>
      </w:r>
      <w:r w:rsidR="00EF3F11">
        <w:t>.</w:t>
      </w:r>
      <w:r w:rsidR="00EF3F11">
        <w:rPr>
          <w:noProof/>
        </w:rPr>
        <w:t>13</w:t>
      </w:r>
      <w:r w:rsidR="00CD6D06">
        <w:fldChar w:fldCharType="end"/>
      </w:r>
      <w:r>
        <w:t xml:space="preserve">.  For reference, the results of Series 2 for </w:t>
      </w:r>
      <w:r w:rsidRPr="00432735">
        <w:rPr>
          <w:i/>
        </w:rPr>
        <w:t>n</w:t>
      </w:r>
      <w:r w:rsidRPr="00432735">
        <w:rPr>
          <w:i/>
          <w:vertAlign w:val="subscript"/>
        </w:rPr>
        <w:t>h</w:t>
      </w:r>
      <w:r w:rsidRPr="00432735">
        <w:rPr>
          <w:vertAlign w:val="subscript"/>
        </w:rPr>
        <w:t xml:space="preserve"> </w:t>
      </w:r>
      <w:r>
        <w:t>= 11,000 psf/in. have been reproduced in the figure.</w:t>
      </w:r>
      <w:r w:rsidR="009E6A5C">
        <w:t xml:space="preserve">  </w:t>
      </w:r>
      <w:r w:rsidR="00165758">
        <w:t xml:space="preserve">The only difference between this series and Series 5 is the inclusion of the pin detail.  </w:t>
      </w:r>
      <w:r w:rsidR="009E6A5C">
        <w:t>The zero-damage and acceptable-damage displacement limits determined in Chapter 4 are also shown.</w:t>
      </w:r>
    </w:p>
    <w:p w:rsidR="0068163F" w:rsidRDefault="0068163F" w:rsidP="00432735">
      <w:pPr>
        <w:ind w:firstLine="720"/>
      </w:pPr>
      <w:r>
        <w:t xml:space="preserve">As shown in the figures, the addition of the “pin” detail had relatively little effect on the displacements of the abutment.  In no case did the computed </w:t>
      </w:r>
      <w:r w:rsidR="00165758">
        <w:t>displacement</w:t>
      </w:r>
      <w:r>
        <w:t>s exceed the zero-damage limit.</w:t>
      </w:r>
      <w:r w:rsidR="00165758">
        <w:t xml:space="preserve">  It should be noted that, although the computed displacements were compared to the zero-damage limit, the zero-damage limit does not have any real meaning for the pin detail.  As discussed on the Chapter 4, the pin detail had very little resistance to lateral loads throughout the range of displacements tested.  </w:t>
      </w:r>
    </w:p>
    <w:p w:rsidR="006075CD" w:rsidRDefault="006075CD" w:rsidP="006075CD">
      <w:pPr>
        <w:pStyle w:val="Caption"/>
        <w:jc w:val="left"/>
      </w:pPr>
    </w:p>
    <w:p w:rsidR="004A28B4" w:rsidRDefault="004A28B4" w:rsidP="006075CD">
      <w:pPr>
        <w:pStyle w:val="Caption"/>
        <w:jc w:val="left"/>
        <w:rPr>
          <w:rFonts w:cs="Arial"/>
          <w:b w:val="0"/>
          <w:bCs w:val="0"/>
          <w:iCs/>
          <w:u w:val="single"/>
        </w:rPr>
      </w:pPr>
      <w:r>
        <w:br w:type="page"/>
      </w:r>
    </w:p>
    <w:p w:rsidR="005A372B" w:rsidRDefault="001C1DF7">
      <w:pPr>
        <w:spacing w:line="240" w:lineRule="auto"/>
        <w:rPr>
          <w:rFonts w:cs="Arial"/>
          <w:b/>
          <w:bCs/>
          <w:iCs/>
          <w:u w:val="single"/>
        </w:rPr>
      </w:pPr>
      <w:r w:rsidRPr="001C1DF7">
        <w:rPr>
          <w:noProof/>
        </w:rPr>
        <w:lastRenderedPageBreak/>
        <w:drawing>
          <wp:anchor distT="0" distB="0" distL="114300" distR="114300" simplePos="0" relativeHeight="251701248" behindDoc="0" locked="0" layoutInCell="1" allowOverlap="1">
            <wp:simplePos x="0" y="0"/>
            <wp:positionH relativeFrom="column">
              <wp:posOffset>-659947</wp:posOffset>
            </wp:positionH>
            <wp:positionV relativeFrom="paragraph">
              <wp:posOffset>2266950</wp:posOffset>
            </wp:positionV>
            <wp:extent cx="6165669" cy="3474176"/>
            <wp:effectExtent l="0" t="1352550" r="0" b="1326424"/>
            <wp:wrapNone/>
            <wp:docPr id="6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srcRect/>
                    <a:stretch>
                      <a:fillRect/>
                    </a:stretch>
                  </pic:blipFill>
                  <pic:spPr bwMode="auto">
                    <a:xfrm rot="16200000">
                      <a:off x="0" y="0"/>
                      <a:ext cx="6165669" cy="3474176"/>
                    </a:xfrm>
                    <a:prstGeom prst="rect">
                      <a:avLst/>
                    </a:prstGeom>
                    <a:noFill/>
                    <a:ln w="9525">
                      <a:noFill/>
                      <a:miter lim="800000"/>
                      <a:headEnd/>
                      <a:tailEnd/>
                    </a:ln>
                  </pic:spPr>
                </pic:pic>
              </a:graphicData>
            </a:graphic>
          </wp:anchor>
        </w:drawing>
      </w:r>
      <w:r w:rsidR="00CD6D06" w:rsidRPr="00CD6D06">
        <w:rPr>
          <w:noProof/>
        </w:rPr>
        <w:pict>
          <v:shape id="_x0000_s1037" type="#_x0000_t202" style="position:absolute;margin-left:6pt;margin-top:18pt;width:42pt;height:585pt;z-index:251682816;mso-position-horizontal-relative:text;mso-position-vertical-relative:text;mso-width-relative:margin;mso-height-relative:margin;v-text-anchor:middle" stroked="f">
            <v:textbox style="layout-flow:vertical;mso-layout-flow-alt:bottom-to-top;mso-next-textbox:#_x0000_s1037">
              <w:txbxContent>
                <w:p w:rsidR="00B9209B" w:rsidRPr="004A28B4" w:rsidRDefault="00B9209B" w:rsidP="005A372B">
                  <w:pPr>
                    <w:pStyle w:val="Caption"/>
                    <w:rPr>
                      <w:b w:val="0"/>
                    </w:rPr>
                  </w:pPr>
                  <w:bookmarkStart w:id="59" w:name="_Ref193017668"/>
                  <w:bookmarkStart w:id="60" w:name="_Toc193615475"/>
                  <w:r>
                    <w:t xml:space="preserve">Table </w:t>
                  </w:r>
                  <w:fldSimple w:instr=" STYLEREF 1 \s ">
                    <w:r w:rsidR="00EF3F11">
                      <w:rPr>
                        <w:noProof/>
                      </w:rPr>
                      <w:t>5</w:t>
                    </w:r>
                  </w:fldSimple>
                  <w:r>
                    <w:t>.</w:t>
                  </w:r>
                  <w:fldSimple w:instr=" SEQ Table \* ARABIC \s 1 ">
                    <w:r w:rsidR="00EF3F11">
                      <w:rPr>
                        <w:noProof/>
                      </w:rPr>
                      <w:t>8</w:t>
                    </w:r>
                  </w:fldSimple>
                  <w:bookmarkEnd w:id="59"/>
                  <w:r w:rsidRPr="004A28B4">
                    <w:t xml:space="preserve">: Maximum </w:t>
                  </w:r>
                  <w:r>
                    <w:t>Abutment Displacements (in.) – Series 5</w:t>
                  </w:r>
                  <w:bookmarkEnd w:id="60"/>
                </w:p>
              </w:txbxContent>
            </v:textbox>
          </v:shape>
        </w:pict>
      </w:r>
      <w:r w:rsidR="005A372B">
        <w:br w:type="page"/>
      </w:r>
    </w:p>
    <w:p w:rsidR="00AD4A5C" w:rsidRDefault="00AD4A5C" w:rsidP="00AD4A5C">
      <w:pPr>
        <w:spacing w:line="240" w:lineRule="auto"/>
        <w:jc w:val="center"/>
      </w:pPr>
      <w:r w:rsidRPr="00AD4A5C">
        <w:rPr>
          <w:noProof/>
        </w:rPr>
        <w:lastRenderedPageBreak/>
        <w:drawing>
          <wp:inline distT="0" distB="0" distL="0" distR="0">
            <wp:extent cx="4768215" cy="6243955"/>
            <wp:effectExtent l="0" t="0" r="0" b="0"/>
            <wp:docPr id="4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
                    <a:srcRect/>
                    <a:stretch>
                      <a:fillRect/>
                    </a:stretch>
                  </pic:blipFill>
                  <pic:spPr bwMode="auto">
                    <a:xfrm>
                      <a:off x="0" y="0"/>
                      <a:ext cx="4768215" cy="6243955"/>
                    </a:xfrm>
                    <a:prstGeom prst="rect">
                      <a:avLst/>
                    </a:prstGeom>
                    <a:noFill/>
                    <a:ln w="9525">
                      <a:noFill/>
                      <a:miter lim="800000"/>
                      <a:headEnd/>
                      <a:tailEnd/>
                    </a:ln>
                  </pic:spPr>
                </pic:pic>
              </a:graphicData>
            </a:graphic>
          </wp:inline>
        </w:drawing>
      </w:r>
    </w:p>
    <w:p w:rsidR="00AD4A5C" w:rsidRDefault="00AD4A5C" w:rsidP="00AD4A5C">
      <w:pPr>
        <w:spacing w:line="240" w:lineRule="auto"/>
        <w:jc w:val="center"/>
      </w:pPr>
    </w:p>
    <w:p w:rsidR="00AD4A5C" w:rsidRDefault="00AD4A5C" w:rsidP="00AD4A5C">
      <w:pPr>
        <w:spacing w:line="240" w:lineRule="auto"/>
        <w:jc w:val="center"/>
      </w:pPr>
    </w:p>
    <w:p w:rsidR="00AD4A5C" w:rsidRDefault="00AD4A5C" w:rsidP="00AD4A5C">
      <w:pPr>
        <w:spacing w:line="240" w:lineRule="auto"/>
        <w:jc w:val="center"/>
      </w:pPr>
    </w:p>
    <w:p w:rsidR="00AD4A5C" w:rsidRDefault="00AD4A5C" w:rsidP="00AD4A5C">
      <w:pPr>
        <w:pStyle w:val="Caption"/>
      </w:pPr>
      <w:bookmarkStart w:id="61" w:name="_Ref193018142"/>
      <w:bookmarkStart w:id="62" w:name="_Toc193615528"/>
      <w:r>
        <w:t xml:space="preserve">Figure </w:t>
      </w:r>
      <w:fldSimple w:instr=" STYLEREF 1 \s ">
        <w:r w:rsidR="00EF3F11">
          <w:rPr>
            <w:noProof/>
          </w:rPr>
          <w:t>5</w:t>
        </w:r>
      </w:fldSimple>
      <w:r w:rsidR="00630774">
        <w:t>.</w:t>
      </w:r>
      <w:fldSimple w:instr=" SEQ Figure \* ARABIC \s 1 ">
        <w:r w:rsidR="00EF3F11">
          <w:rPr>
            <w:noProof/>
          </w:rPr>
          <w:t>13</w:t>
        </w:r>
      </w:fldSimple>
      <w:bookmarkEnd w:id="61"/>
      <w:r>
        <w:t>: Average Maximum Abutment Displacement – Series 5</w:t>
      </w:r>
      <w:bookmarkEnd w:id="62"/>
    </w:p>
    <w:p w:rsidR="00AD4A5C" w:rsidRDefault="00AD4A5C">
      <w:pPr>
        <w:spacing w:line="240" w:lineRule="auto"/>
      </w:pPr>
      <w:r>
        <w:br w:type="page"/>
      </w:r>
    </w:p>
    <w:p w:rsidR="00AD4A5C" w:rsidRDefault="001C1DF7" w:rsidP="00AD4A5C">
      <w:pPr>
        <w:spacing w:line="240" w:lineRule="auto"/>
        <w:jc w:val="center"/>
      </w:pPr>
      <w:r w:rsidRPr="001C1DF7">
        <w:rPr>
          <w:noProof/>
        </w:rPr>
        <w:lastRenderedPageBreak/>
        <w:drawing>
          <wp:inline distT="0" distB="0" distL="0" distR="0">
            <wp:extent cx="4768215" cy="6243955"/>
            <wp:effectExtent l="0" t="0" r="0" b="0"/>
            <wp:docPr id="6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7"/>
                    <a:srcRect/>
                    <a:stretch>
                      <a:fillRect/>
                    </a:stretch>
                  </pic:blipFill>
                  <pic:spPr bwMode="auto">
                    <a:xfrm>
                      <a:off x="0" y="0"/>
                      <a:ext cx="4768215" cy="6243955"/>
                    </a:xfrm>
                    <a:prstGeom prst="rect">
                      <a:avLst/>
                    </a:prstGeom>
                    <a:noFill/>
                    <a:ln w="9525">
                      <a:noFill/>
                      <a:miter lim="800000"/>
                      <a:headEnd/>
                      <a:tailEnd/>
                    </a:ln>
                  </pic:spPr>
                </pic:pic>
              </a:graphicData>
            </a:graphic>
          </wp:inline>
        </w:drawing>
      </w:r>
    </w:p>
    <w:p w:rsidR="00AD4A5C" w:rsidRDefault="00AD4A5C" w:rsidP="00AD4A5C">
      <w:pPr>
        <w:spacing w:line="240" w:lineRule="auto"/>
        <w:jc w:val="center"/>
      </w:pPr>
    </w:p>
    <w:p w:rsidR="00AD4A5C" w:rsidRDefault="00AD4A5C" w:rsidP="00AD4A5C">
      <w:pPr>
        <w:spacing w:line="240" w:lineRule="auto"/>
        <w:jc w:val="center"/>
      </w:pPr>
    </w:p>
    <w:p w:rsidR="00AD4A5C" w:rsidRDefault="00AD4A5C" w:rsidP="00AD4A5C">
      <w:pPr>
        <w:spacing w:line="240" w:lineRule="auto"/>
        <w:jc w:val="center"/>
      </w:pPr>
    </w:p>
    <w:p w:rsidR="00AD4A5C" w:rsidRPr="00AD4A5C" w:rsidRDefault="00AD4A5C" w:rsidP="00AD4A5C">
      <w:pPr>
        <w:spacing w:line="240" w:lineRule="auto"/>
        <w:jc w:val="center"/>
        <w:rPr>
          <w:b/>
        </w:rPr>
      </w:pPr>
      <w:r w:rsidRPr="00AD4A5C">
        <w:rPr>
          <w:b/>
        </w:rPr>
        <w:t>Figure 5.11 (continued): Average Maximum Abutment Displacement – Series 5</w:t>
      </w:r>
    </w:p>
    <w:p w:rsidR="00AD4A5C" w:rsidRDefault="00AD4A5C">
      <w:pPr>
        <w:spacing w:line="240" w:lineRule="auto"/>
      </w:pPr>
      <w:r>
        <w:br w:type="page"/>
      </w:r>
    </w:p>
    <w:p w:rsidR="00AD4A5C" w:rsidRDefault="001C1DF7" w:rsidP="00AD4A5C">
      <w:pPr>
        <w:spacing w:line="240" w:lineRule="auto"/>
        <w:jc w:val="center"/>
      </w:pPr>
      <w:r w:rsidRPr="001C1DF7">
        <w:rPr>
          <w:noProof/>
        </w:rPr>
        <w:lastRenderedPageBreak/>
        <w:drawing>
          <wp:inline distT="0" distB="0" distL="0" distR="0">
            <wp:extent cx="4768215" cy="6243955"/>
            <wp:effectExtent l="0" t="0" r="0" b="0"/>
            <wp:docPr id="6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8"/>
                    <a:srcRect/>
                    <a:stretch>
                      <a:fillRect/>
                    </a:stretch>
                  </pic:blipFill>
                  <pic:spPr bwMode="auto">
                    <a:xfrm>
                      <a:off x="0" y="0"/>
                      <a:ext cx="4768215" cy="6243955"/>
                    </a:xfrm>
                    <a:prstGeom prst="rect">
                      <a:avLst/>
                    </a:prstGeom>
                    <a:noFill/>
                    <a:ln w="9525">
                      <a:noFill/>
                      <a:miter lim="800000"/>
                      <a:headEnd/>
                      <a:tailEnd/>
                    </a:ln>
                  </pic:spPr>
                </pic:pic>
              </a:graphicData>
            </a:graphic>
          </wp:inline>
        </w:drawing>
      </w:r>
    </w:p>
    <w:p w:rsidR="00AD4A5C" w:rsidRDefault="00AD4A5C" w:rsidP="00AD4A5C">
      <w:pPr>
        <w:spacing w:line="240" w:lineRule="auto"/>
        <w:jc w:val="center"/>
      </w:pPr>
    </w:p>
    <w:p w:rsidR="00AD4A5C" w:rsidRDefault="00AD4A5C" w:rsidP="00AD4A5C">
      <w:pPr>
        <w:spacing w:line="240" w:lineRule="auto"/>
        <w:jc w:val="center"/>
      </w:pPr>
    </w:p>
    <w:p w:rsidR="00AD4A5C" w:rsidRDefault="00AD4A5C" w:rsidP="00AD4A5C">
      <w:pPr>
        <w:spacing w:line="240" w:lineRule="auto"/>
        <w:jc w:val="center"/>
      </w:pPr>
    </w:p>
    <w:p w:rsidR="00AD4A5C" w:rsidRPr="00AD4A5C" w:rsidRDefault="00AD4A5C" w:rsidP="00AD4A5C">
      <w:pPr>
        <w:spacing w:line="240" w:lineRule="auto"/>
        <w:jc w:val="center"/>
        <w:rPr>
          <w:b/>
        </w:rPr>
      </w:pPr>
      <w:r w:rsidRPr="00AD4A5C">
        <w:rPr>
          <w:b/>
        </w:rPr>
        <w:t>Figure 5.11 (continued): Average Maximum Abutment Displacement – Series 5</w:t>
      </w:r>
    </w:p>
    <w:p w:rsidR="00AD4A5C" w:rsidRDefault="00AD4A5C" w:rsidP="00AD4A5C">
      <w:pPr>
        <w:spacing w:line="240" w:lineRule="auto"/>
        <w:jc w:val="center"/>
      </w:pPr>
    </w:p>
    <w:p w:rsidR="00AD4A5C" w:rsidRDefault="00AD4A5C">
      <w:pPr>
        <w:spacing w:line="240" w:lineRule="auto"/>
      </w:pPr>
      <w:r>
        <w:br w:type="page"/>
      </w:r>
    </w:p>
    <w:p w:rsidR="00AD4A5C" w:rsidRDefault="001C1DF7" w:rsidP="00AD4A5C">
      <w:pPr>
        <w:spacing w:line="240" w:lineRule="auto"/>
        <w:jc w:val="center"/>
      </w:pPr>
      <w:r w:rsidRPr="001C1DF7">
        <w:rPr>
          <w:noProof/>
        </w:rPr>
        <w:lastRenderedPageBreak/>
        <w:drawing>
          <wp:inline distT="0" distB="0" distL="0" distR="0">
            <wp:extent cx="4768215" cy="6243955"/>
            <wp:effectExtent l="0" t="0" r="0" b="0"/>
            <wp:docPr id="6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9"/>
                    <a:srcRect/>
                    <a:stretch>
                      <a:fillRect/>
                    </a:stretch>
                  </pic:blipFill>
                  <pic:spPr bwMode="auto">
                    <a:xfrm>
                      <a:off x="0" y="0"/>
                      <a:ext cx="4768215" cy="6243955"/>
                    </a:xfrm>
                    <a:prstGeom prst="rect">
                      <a:avLst/>
                    </a:prstGeom>
                    <a:noFill/>
                    <a:ln w="9525">
                      <a:noFill/>
                      <a:miter lim="800000"/>
                      <a:headEnd/>
                      <a:tailEnd/>
                    </a:ln>
                  </pic:spPr>
                </pic:pic>
              </a:graphicData>
            </a:graphic>
          </wp:inline>
        </w:drawing>
      </w:r>
    </w:p>
    <w:p w:rsidR="00AD4A5C" w:rsidRDefault="00AD4A5C" w:rsidP="00AD4A5C">
      <w:pPr>
        <w:spacing w:line="240" w:lineRule="auto"/>
        <w:jc w:val="center"/>
      </w:pPr>
    </w:p>
    <w:p w:rsidR="00AD4A5C" w:rsidRDefault="00AD4A5C" w:rsidP="00AD4A5C">
      <w:pPr>
        <w:spacing w:line="240" w:lineRule="auto"/>
        <w:jc w:val="center"/>
      </w:pPr>
    </w:p>
    <w:p w:rsidR="00AD4A5C" w:rsidRDefault="00AD4A5C" w:rsidP="00AD4A5C">
      <w:pPr>
        <w:spacing w:line="240" w:lineRule="auto"/>
        <w:jc w:val="center"/>
      </w:pPr>
    </w:p>
    <w:p w:rsidR="00AD4A5C" w:rsidRPr="00AD4A5C" w:rsidRDefault="00AD4A5C" w:rsidP="00AD4A5C">
      <w:pPr>
        <w:spacing w:line="240" w:lineRule="auto"/>
        <w:jc w:val="center"/>
        <w:rPr>
          <w:b/>
        </w:rPr>
      </w:pPr>
      <w:r w:rsidRPr="00AD4A5C">
        <w:rPr>
          <w:b/>
        </w:rPr>
        <w:t>Figure 5.11 (continued): Average Maximum Abutment Displacement – Series 5</w:t>
      </w:r>
    </w:p>
    <w:p w:rsidR="00AD4A5C" w:rsidRDefault="00AD4A5C" w:rsidP="00AD4A5C">
      <w:pPr>
        <w:spacing w:line="240" w:lineRule="auto"/>
        <w:jc w:val="center"/>
      </w:pPr>
    </w:p>
    <w:p w:rsidR="000F5398" w:rsidRDefault="000F5398" w:rsidP="00AD4A5C">
      <w:pPr>
        <w:spacing w:line="240" w:lineRule="auto"/>
        <w:jc w:val="center"/>
        <w:rPr>
          <w:rFonts w:cs="Arial"/>
          <w:b/>
          <w:bCs/>
          <w:iCs/>
          <w:u w:val="single"/>
        </w:rPr>
      </w:pPr>
      <w:r>
        <w:br w:type="page"/>
      </w:r>
    </w:p>
    <w:p w:rsidR="00630774" w:rsidRDefault="00973532" w:rsidP="0068293A">
      <w:pPr>
        <w:pStyle w:val="Heading2"/>
      </w:pPr>
      <w:bookmarkStart w:id="63" w:name="_Toc193615451"/>
      <w:r>
        <w:lastRenderedPageBreak/>
        <w:t>Conclusions</w:t>
      </w:r>
    </w:p>
    <w:p w:rsidR="003521D1" w:rsidRDefault="00630774" w:rsidP="008602FD">
      <w:pPr>
        <w:ind w:firstLine="720"/>
      </w:pPr>
      <w:r>
        <w:t xml:space="preserve">Based on the results of the analytical investigation, soil stiffness and backfill stiffness were identified as the primary variables influencing displacements of the abutment.  </w:t>
      </w:r>
      <w:r w:rsidR="00822B32">
        <w:t xml:space="preserve">Backfill strength, “pin” detail, and span length were determined to be secondary variables.  </w:t>
      </w:r>
      <w:r>
        <w:t xml:space="preserve">In the previous sections, the average maximum abutment displacements were </w:t>
      </w:r>
      <w:r w:rsidR="00822B32">
        <w:t xml:space="preserve">used to compare </w:t>
      </w:r>
      <w:r>
        <w:t xml:space="preserve">the relative effects of the </w:t>
      </w:r>
      <w:r w:rsidR="00822B32">
        <w:t xml:space="preserve">variables under consideration.  The computed average maximum abutment displacements for Series 2 </w:t>
      </w:r>
      <w:r w:rsidR="00973532">
        <w:t xml:space="preserve">using the stiffness </w:t>
      </w:r>
      <w:r w:rsidR="00B833A3">
        <w:t xml:space="preserve">approach </w:t>
      </w:r>
      <w:r w:rsidR="00822B32">
        <w:t xml:space="preserve">are reproduced in </w:t>
      </w:r>
      <w:r w:rsidR="00CD6D06">
        <w:fldChar w:fldCharType="begin"/>
      </w:r>
      <w:r w:rsidR="00822B32">
        <w:instrText xml:space="preserve"> REF _Ref196213434 \h </w:instrText>
      </w:r>
      <w:r w:rsidR="00CD6D06">
        <w:fldChar w:fldCharType="separate"/>
      </w:r>
      <w:r w:rsidR="00EF3F11">
        <w:t xml:space="preserve">Figure </w:t>
      </w:r>
      <w:r w:rsidR="00EF3F11">
        <w:rPr>
          <w:noProof/>
        </w:rPr>
        <w:t>5</w:t>
      </w:r>
      <w:r w:rsidR="00EF3F11">
        <w:t>.</w:t>
      </w:r>
      <w:r w:rsidR="00EF3F11">
        <w:rPr>
          <w:noProof/>
        </w:rPr>
        <w:t>14</w:t>
      </w:r>
      <w:r w:rsidR="00CD6D06">
        <w:fldChar w:fldCharType="end"/>
      </w:r>
      <w:r w:rsidR="00973532">
        <w:t xml:space="preserve"> </w:t>
      </w:r>
      <w:r w:rsidR="00822B32">
        <w:t xml:space="preserve">along with </w:t>
      </w:r>
      <w:r w:rsidR="00973532">
        <w:t xml:space="preserve">an </w:t>
      </w:r>
      <w:r w:rsidR="00822B32">
        <w:t>additional curve showing the maximum computed displacements</w:t>
      </w:r>
      <w:r w:rsidR="00973532">
        <w:t xml:space="preserve"> for the case of </w:t>
      </w:r>
      <w:r w:rsidR="00973532" w:rsidRPr="00973532">
        <w:rPr>
          <w:i/>
        </w:rPr>
        <w:t>n</w:t>
      </w:r>
      <w:r w:rsidR="00973532" w:rsidRPr="00973532">
        <w:rPr>
          <w:i/>
          <w:vertAlign w:val="subscript"/>
        </w:rPr>
        <w:t>h</w:t>
      </w:r>
      <w:r w:rsidR="00973532">
        <w:t xml:space="preserve"> = 5500 psf/in (one-half of the measured field value)</w:t>
      </w:r>
      <w:r w:rsidR="00822B32">
        <w:t xml:space="preserve">.  </w:t>
      </w:r>
      <w:r w:rsidR="00973532">
        <w:t>As shown in the figure, the maximum computed abutment displacement does not vary much from the average for bridge lengths less than approximately 500 ft.  For bridge lengths longer than approximately 500 ft the maximum computed abutment displacement is significantly larger than the average value.  However, in no case did the maximum computed abutment displacement exceed the acceptable-damage limit for bridge lengths less than or equal to 1000 ft.</w:t>
      </w:r>
      <w:bookmarkEnd w:id="63"/>
      <w:r w:rsidR="00973532">
        <w:t xml:space="preserve">  Therefore</w:t>
      </w:r>
      <w:r w:rsidR="007053A9">
        <w:t>, it was estimated that bridges less than approximately 1000 ft in length would experienc</w:t>
      </w:r>
      <w:r w:rsidR="00165758">
        <w:t>e an acceptable level of damage</w:t>
      </w:r>
      <w:r w:rsidR="007053A9">
        <w:t xml:space="preserve"> while b</w:t>
      </w:r>
      <w:r w:rsidR="008602FD">
        <w:t>ridges less than approximately 5</w:t>
      </w:r>
      <w:r w:rsidR="007053A9">
        <w:t>00 ft would experience no significant damage</w:t>
      </w:r>
      <w:r w:rsidR="008602FD">
        <w:t xml:space="preserve"> during the MCE</w:t>
      </w:r>
      <w:r w:rsidR="007053A9">
        <w:t>.</w:t>
      </w:r>
    </w:p>
    <w:p w:rsidR="00630774" w:rsidRDefault="00630774" w:rsidP="00630774"/>
    <w:p w:rsidR="00630774" w:rsidRDefault="00822B32" w:rsidP="00630774">
      <w:r w:rsidRPr="00822B32">
        <w:rPr>
          <w:noProof/>
        </w:rPr>
        <w:lastRenderedPageBreak/>
        <w:drawing>
          <wp:inline distT="0" distB="0" distL="0" distR="0">
            <wp:extent cx="5055235" cy="356616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srcRect/>
                    <a:stretch>
                      <a:fillRect/>
                    </a:stretch>
                  </pic:blipFill>
                  <pic:spPr bwMode="auto">
                    <a:xfrm>
                      <a:off x="0" y="0"/>
                      <a:ext cx="5055235" cy="3566160"/>
                    </a:xfrm>
                    <a:prstGeom prst="rect">
                      <a:avLst/>
                    </a:prstGeom>
                    <a:noFill/>
                    <a:ln w="9525">
                      <a:noFill/>
                      <a:miter lim="800000"/>
                      <a:headEnd/>
                      <a:tailEnd/>
                    </a:ln>
                  </pic:spPr>
                </pic:pic>
              </a:graphicData>
            </a:graphic>
          </wp:inline>
        </w:drawing>
      </w:r>
    </w:p>
    <w:p w:rsidR="00630774" w:rsidRDefault="00630774" w:rsidP="00630774"/>
    <w:p w:rsidR="00630774" w:rsidRPr="003521D1" w:rsidRDefault="00630774" w:rsidP="00630774">
      <w:pPr>
        <w:pStyle w:val="Caption"/>
      </w:pPr>
      <w:bookmarkStart w:id="64" w:name="_Ref196213434"/>
      <w:r>
        <w:t xml:space="preserve">Figure </w:t>
      </w:r>
      <w:fldSimple w:instr=" STYLEREF 1 \s ">
        <w:r w:rsidR="00EF3F11">
          <w:rPr>
            <w:noProof/>
          </w:rPr>
          <w:t>5</w:t>
        </w:r>
      </w:fldSimple>
      <w:r>
        <w:t>.</w:t>
      </w:r>
      <w:fldSimple w:instr=" SEQ Figure \* ARABIC \s 1 ">
        <w:r w:rsidR="00EF3F11">
          <w:rPr>
            <w:noProof/>
          </w:rPr>
          <w:t>14</w:t>
        </w:r>
      </w:fldSimple>
      <w:bookmarkEnd w:id="64"/>
      <w:r>
        <w:t>: Comparison of Computed Average and Maximum Abutment Displacements (Series 2)</w:t>
      </w:r>
    </w:p>
    <w:sectPr w:rsidR="00630774" w:rsidRPr="003521D1" w:rsidSect="00C1319B">
      <w:headerReference w:type="default" r:id="rId51"/>
      <w:pgSz w:w="12240" w:h="15840"/>
      <w:pgMar w:top="1440" w:right="1440" w:bottom="1800" w:left="2160" w:header="806" w:footer="720" w:gutter="0"/>
      <w:pgNumType w:start="15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343" w:rsidRDefault="00CE0343" w:rsidP="00047746">
      <w:pPr>
        <w:spacing w:line="240" w:lineRule="auto"/>
      </w:pPr>
      <w:r>
        <w:separator/>
      </w:r>
    </w:p>
  </w:endnote>
  <w:endnote w:type="continuationSeparator" w:id="1">
    <w:p w:rsidR="00CE0343" w:rsidRDefault="00CE0343" w:rsidP="000477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343" w:rsidRDefault="00CE0343" w:rsidP="00047746">
      <w:pPr>
        <w:spacing w:line="240" w:lineRule="auto"/>
      </w:pPr>
      <w:r>
        <w:separator/>
      </w:r>
    </w:p>
  </w:footnote>
  <w:footnote w:type="continuationSeparator" w:id="1">
    <w:p w:rsidR="00CE0343" w:rsidRDefault="00CE0343" w:rsidP="0004774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169573"/>
      <w:docPartObj>
        <w:docPartGallery w:val="Page Numbers (Top of Page)"/>
        <w:docPartUnique/>
      </w:docPartObj>
    </w:sdtPr>
    <w:sdtContent>
      <w:p w:rsidR="00B9209B" w:rsidRDefault="00CD6D06">
        <w:pPr>
          <w:pStyle w:val="Header"/>
          <w:jc w:val="right"/>
        </w:pPr>
        <w:fldSimple w:instr=" PAGE   \* MERGEFORMAT ">
          <w:r w:rsidR="00EF3F11">
            <w:rPr>
              <w:noProof/>
            </w:rPr>
            <w:t>172</w:t>
          </w:r>
        </w:fldSimple>
      </w:p>
    </w:sdtContent>
  </w:sdt>
  <w:p w:rsidR="00B9209B" w:rsidRDefault="00B920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432A"/>
    <w:multiLevelType w:val="multilevel"/>
    <w:tmpl w:val="BF2A679E"/>
    <w:lvl w:ilvl="0">
      <w:start w:val="1"/>
      <w:numFmt w:val="decimal"/>
      <w:lvlText w:val="CHAPTER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Times New Roman" w:hAnsi="Times New Roman"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F024907"/>
    <w:multiLevelType w:val="multilevel"/>
    <w:tmpl w:val="19E47DD6"/>
    <w:lvl w:ilvl="0">
      <w:start w:val="1"/>
      <w:numFmt w:val="decimal"/>
      <w:lvlText w:val="CHAPTER %1: "/>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Times New Roman" w:hAnsi="Times New Roman"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35A952F6"/>
    <w:multiLevelType w:val="multilevel"/>
    <w:tmpl w:val="7F3EF1F6"/>
    <w:lvl w:ilvl="0">
      <w:start w:val="1"/>
      <w:numFmt w:val="decimal"/>
      <w:lvlText w:val="%1."/>
      <w:lvlJc w:val="left"/>
      <w:pPr>
        <w:ind w:left="360" w:hanging="360"/>
      </w:pPr>
      <w:rPr>
        <w:rFonts w:hint="default"/>
      </w:rPr>
    </w:lvl>
    <w:lvl w:ilvl="1">
      <w:start w:val="1"/>
      <w:numFmt w:val="decimal"/>
      <w:suff w:val="nothing"/>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AF6302E"/>
    <w:multiLevelType w:val="multilevel"/>
    <w:tmpl w:val="542A4204"/>
    <w:lvl w:ilvl="0">
      <w:start w:val="1"/>
      <w:numFmt w:val="decimal"/>
      <w:lvlText w:val="CHAPTER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Times New Roman" w:hAnsi="Times New Roman"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71BA430B"/>
    <w:multiLevelType w:val="hybridMultilevel"/>
    <w:tmpl w:val="A3C41C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5D0765C"/>
    <w:multiLevelType w:val="multilevel"/>
    <w:tmpl w:val="BA4C849C"/>
    <w:lvl w:ilvl="0">
      <w:start w:val="5"/>
      <w:numFmt w:val="decimal"/>
      <w:pStyle w:val="Heading1"/>
      <w:lvlText w:val="CHAPTER %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Times New Roman" w:hAnsi="Times New Roman" w:hint="default"/>
        <w:b/>
        <w:i w:val="0"/>
        <w:sz w:val="24"/>
        <w:szCs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7B3E51B7"/>
    <w:multiLevelType w:val="multilevel"/>
    <w:tmpl w:val="86782C66"/>
    <w:lvl w:ilvl="0">
      <w:start w:val="1"/>
      <w:numFmt w:val="upperLetter"/>
      <w:lvlText w:val="Appendix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Times New Roman" w:hAnsi="Times New Roman"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3"/>
  </w:num>
  <w:num w:numId="3">
    <w:abstractNumId w:val="1"/>
  </w:num>
  <w:num w:numId="4">
    <w:abstractNumId w:val="4"/>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A43F2"/>
    <w:rsid w:val="00007029"/>
    <w:rsid w:val="000124F7"/>
    <w:rsid w:val="00012E6A"/>
    <w:rsid w:val="0002243E"/>
    <w:rsid w:val="0002342D"/>
    <w:rsid w:val="000248A4"/>
    <w:rsid w:val="000329DF"/>
    <w:rsid w:val="00033B57"/>
    <w:rsid w:val="0004090D"/>
    <w:rsid w:val="0004756E"/>
    <w:rsid w:val="00047746"/>
    <w:rsid w:val="000536DA"/>
    <w:rsid w:val="00057569"/>
    <w:rsid w:val="00062482"/>
    <w:rsid w:val="00070025"/>
    <w:rsid w:val="00070A55"/>
    <w:rsid w:val="00075062"/>
    <w:rsid w:val="00076840"/>
    <w:rsid w:val="000812D8"/>
    <w:rsid w:val="000825E9"/>
    <w:rsid w:val="00082A37"/>
    <w:rsid w:val="00082C22"/>
    <w:rsid w:val="00082E51"/>
    <w:rsid w:val="0009259A"/>
    <w:rsid w:val="000961DA"/>
    <w:rsid w:val="000A248E"/>
    <w:rsid w:val="000A35F5"/>
    <w:rsid w:val="000A484C"/>
    <w:rsid w:val="000A53E8"/>
    <w:rsid w:val="000B0428"/>
    <w:rsid w:val="000B1C89"/>
    <w:rsid w:val="000B4239"/>
    <w:rsid w:val="000B4AFF"/>
    <w:rsid w:val="000C1D41"/>
    <w:rsid w:val="000C43B9"/>
    <w:rsid w:val="000D0EA7"/>
    <w:rsid w:val="000D275E"/>
    <w:rsid w:val="000D3205"/>
    <w:rsid w:val="000D487F"/>
    <w:rsid w:val="000D50BF"/>
    <w:rsid w:val="000D520C"/>
    <w:rsid w:val="000E071E"/>
    <w:rsid w:val="000E139D"/>
    <w:rsid w:val="000E2E20"/>
    <w:rsid w:val="000E66D9"/>
    <w:rsid w:val="000E74A6"/>
    <w:rsid w:val="000F5398"/>
    <w:rsid w:val="0010394A"/>
    <w:rsid w:val="00105FCB"/>
    <w:rsid w:val="00111539"/>
    <w:rsid w:val="001131A1"/>
    <w:rsid w:val="001200BC"/>
    <w:rsid w:val="00123E4F"/>
    <w:rsid w:val="001273BE"/>
    <w:rsid w:val="00127BB1"/>
    <w:rsid w:val="001304A9"/>
    <w:rsid w:val="00130D77"/>
    <w:rsid w:val="00132869"/>
    <w:rsid w:val="001345A9"/>
    <w:rsid w:val="0013718D"/>
    <w:rsid w:val="001407A0"/>
    <w:rsid w:val="00150BA2"/>
    <w:rsid w:val="00152061"/>
    <w:rsid w:val="0015240A"/>
    <w:rsid w:val="00153F92"/>
    <w:rsid w:val="00155350"/>
    <w:rsid w:val="0015649A"/>
    <w:rsid w:val="001569F1"/>
    <w:rsid w:val="001571E3"/>
    <w:rsid w:val="00161096"/>
    <w:rsid w:val="00165758"/>
    <w:rsid w:val="0016683E"/>
    <w:rsid w:val="001763BF"/>
    <w:rsid w:val="001813EE"/>
    <w:rsid w:val="00181BF9"/>
    <w:rsid w:val="00182C6E"/>
    <w:rsid w:val="00184F89"/>
    <w:rsid w:val="00192B62"/>
    <w:rsid w:val="00192D28"/>
    <w:rsid w:val="0019354E"/>
    <w:rsid w:val="001A094B"/>
    <w:rsid w:val="001A3DBB"/>
    <w:rsid w:val="001B2103"/>
    <w:rsid w:val="001B6890"/>
    <w:rsid w:val="001C1DF7"/>
    <w:rsid w:val="001C34AA"/>
    <w:rsid w:val="001C4B76"/>
    <w:rsid w:val="001C4D93"/>
    <w:rsid w:val="001C63CE"/>
    <w:rsid w:val="001D0633"/>
    <w:rsid w:val="001D2B9B"/>
    <w:rsid w:val="001D314F"/>
    <w:rsid w:val="001D5B12"/>
    <w:rsid w:val="001E3696"/>
    <w:rsid w:val="001E3CCD"/>
    <w:rsid w:val="001F18FD"/>
    <w:rsid w:val="001F3488"/>
    <w:rsid w:val="001F4666"/>
    <w:rsid w:val="002011DE"/>
    <w:rsid w:val="0020548C"/>
    <w:rsid w:val="00206174"/>
    <w:rsid w:val="00206310"/>
    <w:rsid w:val="00210BD2"/>
    <w:rsid w:val="00214E4A"/>
    <w:rsid w:val="002220E7"/>
    <w:rsid w:val="002229E4"/>
    <w:rsid w:val="00224510"/>
    <w:rsid w:val="00224856"/>
    <w:rsid w:val="002256EC"/>
    <w:rsid w:val="00230692"/>
    <w:rsid w:val="00230779"/>
    <w:rsid w:val="0023229F"/>
    <w:rsid w:val="0023319E"/>
    <w:rsid w:val="0024274E"/>
    <w:rsid w:val="002453D4"/>
    <w:rsid w:val="00246D68"/>
    <w:rsid w:val="00247EA5"/>
    <w:rsid w:val="00250820"/>
    <w:rsid w:val="00250DB6"/>
    <w:rsid w:val="002513FC"/>
    <w:rsid w:val="00252399"/>
    <w:rsid w:val="00254CD2"/>
    <w:rsid w:val="00257F9E"/>
    <w:rsid w:val="0026722E"/>
    <w:rsid w:val="00272660"/>
    <w:rsid w:val="00273E7E"/>
    <w:rsid w:val="0027694F"/>
    <w:rsid w:val="00280AFE"/>
    <w:rsid w:val="00286140"/>
    <w:rsid w:val="002933C2"/>
    <w:rsid w:val="0029490D"/>
    <w:rsid w:val="00297427"/>
    <w:rsid w:val="002A13EF"/>
    <w:rsid w:val="002A2A0C"/>
    <w:rsid w:val="002A3C04"/>
    <w:rsid w:val="002A68D6"/>
    <w:rsid w:val="002A7823"/>
    <w:rsid w:val="002B1B0A"/>
    <w:rsid w:val="002B2A4E"/>
    <w:rsid w:val="002B4C1A"/>
    <w:rsid w:val="002C18C1"/>
    <w:rsid w:val="002C1DD7"/>
    <w:rsid w:val="002C568A"/>
    <w:rsid w:val="002D0B77"/>
    <w:rsid w:val="002D6238"/>
    <w:rsid w:val="002D67BD"/>
    <w:rsid w:val="002E34A3"/>
    <w:rsid w:val="002E5540"/>
    <w:rsid w:val="002F127D"/>
    <w:rsid w:val="002F2063"/>
    <w:rsid w:val="002F5C97"/>
    <w:rsid w:val="003016A8"/>
    <w:rsid w:val="0030444F"/>
    <w:rsid w:val="003151FC"/>
    <w:rsid w:val="003163B1"/>
    <w:rsid w:val="00316F84"/>
    <w:rsid w:val="00317A2F"/>
    <w:rsid w:val="00333424"/>
    <w:rsid w:val="0033416A"/>
    <w:rsid w:val="003362D3"/>
    <w:rsid w:val="003403A3"/>
    <w:rsid w:val="00350F7C"/>
    <w:rsid w:val="003521D1"/>
    <w:rsid w:val="00353186"/>
    <w:rsid w:val="003658CC"/>
    <w:rsid w:val="003726ED"/>
    <w:rsid w:val="00374766"/>
    <w:rsid w:val="003815AE"/>
    <w:rsid w:val="00385171"/>
    <w:rsid w:val="003856C6"/>
    <w:rsid w:val="00387FBE"/>
    <w:rsid w:val="003921FE"/>
    <w:rsid w:val="003935C5"/>
    <w:rsid w:val="00395390"/>
    <w:rsid w:val="00397F4D"/>
    <w:rsid w:val="003A74A1"/>
    <w:rsid w:val="003B1B11"/>
    <w:rsid w:val="003C05D0"/>
    <w:rsid w:val="003C11C0"/>
    <w:rsid w:val="003C203B"/>
    <w:rsid w:val="003C32DB"/>
    <w:rsid w:val="003D2EF5"/>
    <w:rsid w:val="003D4345"/>
    <w:rsid w:val="003D6597"/>
    <w:rsid w:val="003E0DF2"/>
    <w:rsid w:val="003E1D52"/>
    <w:rsid w:val="003E2FF5"/>
    <w:rsid w:val="003E645E"/>
    <w:rsid w:val="003F4D13"/>
    <w:rsid w:val="004043FA"/>
    <w:rsid w:val="00404546"/>
    <w:rsid w:val="0040606C"/>
    <w:rsid w:val="00412F39"/>
    <w:rsid w:val="0041480A"/>
    <w:rsid w:val="00415DF8"/>
    <w:rsid w:val="004242EB"/>
    <w:rsid w:val="004275C7"/>
    <w:rsid w:val="00432735"/>
    <w:rsid w:val="00433552"/>
    <w:rsid w:val="00434C3A"/>
    <w:rsid w:val="00434E6E"/>
    <w:rsid w:val="00436C29"/>
    <w:rsid w:val="004370DB"/>
    <w:rsid w:val="00437B9E"/>
    <w:rsid w:val="00440AEB"/>
    <w:rsid w:val="00442D2F"/>
    <w:rsid w:val="004436FB"/>
    <w:rsid w:val="00447AD2"/>
    <w:rsid w:val="00455E1F"/>
    <w:rsid w:val="00460882"/>
    <w:rsid w:val="004620D0"/>
    <w:rsid w:val="00462757"/>
    <w:rsid w:val="004628EC"/>
    <w:rsid w:val="00462E22"/>
    <w:rsid w:val="004675A1"/>
    <w:rsid w:val="00476B24"/>
    <w:rsid w:val="00480AEF"/>
    <w:rsid w:val="00481E86"/>
    <w:rsid w:val="00491ECE"/>
    <w:rsid w:val="004936DC"/>
    <w:rsid w:val="00493CB2"/>
    <w:rsid w:val="004A08F8"/>
    <w:rsid w:val="004A1453"/>
    <w:rsid w:val="004A28B4"/>
    <w:rsid w:val="004A4E4C"/>
    <w:rsid w:val="004A7271"/>
    <w:rsid w:val="004B1995"/>
    <w:rsid w:val="004B25F8"/>
    <w:rsid w:val="004B2777"/>
    <w:rsid w:val="004B2ACE"/>
    <w:rsid w:val="004B319C"/>
    <w:rsid w:val="004B44DE"/>
    <w:rsid w:val="004B557E"/>
    <w:rsid w:val="004C01AB"/>
    <w:rsid w:val="004C2CC5"/>
    <w:rsid w:val="004D01A5"/>
    <w:rsid w:val="004D536A"/>
    <w:rsid w:val="004E4BDF"/>
    <w:rsid w:val="004F06B0"/>
    <w:rsid w:val="004F099F"/>
    <w:rsid w:val="004F465F"/>
    <w:rsid w:val="004F7470"/>
    <w:rsid w:val="00501743"/>
    <w:rsid w:val="00502080"/>
    <w:rsid w:val="00503AEF"/>
    <w:rsid w:val="0051358C"/>
    <w:rsid w:val="00516115"/>
    <w:rsid w:val="00516B13"/>
    <w:rsid w:val="00516DC8"/>
    <w:rsid w:val="00517F67"/>
    <w:rsid w:val="00520BB0"/>
    <w:rsid w:val="00522D5B"/>
    <w:rsid w:val="00524938"/>
    <w:rsid w:val="005269A0"/>
    <w:rsid w:val="00533F40"/>
    <w:rsid w:val="005373DC"/>
    <w:rsid w:val="00541DB3"/>
    <w:rsid w:val="0054254C"/>
    <w:rsid w:val="00543FA6"/>
    <w:rsid w:val="00550912"/>
    <w:rsid w:val="00552A53"/>
    <w:rsid w:val="00552AE2"/>
    <w:rsid w:val="00562D14"/>
    <w:rsid w:val="00563C25"/>
    <w:rsid w:val="00565B35"/>
    <w:rsid w:val="005720DE"/>
    <w:rsid w:val="005722DF"/>
    <w:rsid w:val="00572C28"/>
    <w:rsid w:val="005742A1"/>
    <w:rsid w:val="00575DF5"/>
    <w:rsid w:val="00577252"/>
    <w:rsid w:val="00586E6C"/>
    <w:rsid w:val="00590FEE"/>
    <w:rsid w:val="00592941"/>
    <w:rsid w:val="00593807"/>
    <w:rsid w:val="005A2199"/>
    <w:rsid w:val="005A372B"/>
    <w:rsid w:val="005A7DF3"/>
    <w:rsid w:val="005B0C56"/>
    <w:rsid w:val="005B4AF8"/>
    <w:rsid w:val="005C1102"/>
    <w:rsid w:val="005C3994"/>
    <w:rsid w:val="005C7C10"/>
    <w:rsid w:val="005D2880"/>
    <w:rsid w:val="005D4792"/>
    <w:rsid w:val="005E1EB7"/>
    <w:rsid w:val="005E2BF3"/>
    <w:rsid w:val="005F651B"/>
    <w:rsid w:val="005F693F"/>
    <w:rsid w:val="00600BC7"/>
    <w:rsid w:val="00601355"/>
    <w:rsid w:val="00601FD4"/>
    <w:rsid w:val="00604B59"/>
    <w:rsid w:val="00605A39"/>
    <w:rsid w:val="006067D6"/>
    <w:rsid w:val="006075CD"/>
    <w:rsid w:val="00620664"/>
    <w:rsid w:val="0062073D"/>
    <w:rsid w:val="00623318"/>
    <w:rsid w:val="00627920"/>
    <w:rsid w:val="00630774"/>
    <w:rsid w:val="006309FA"/>
    <w:rsid w:val="00635702"/>
    <w:rsid w:val="0063589E"/>
    <w:rsid w:val="00640D22"/>
    <w:rsid w:val="0064212F"/>
    <w:rsid w:val="00642332"/>
    <w:rsid w:val="00646A0B"/>
    <w:rsid w:val="00654B46"/>
    <w:rsid w:val="0066671C"/>
    <w:rsid w:val="00670F7B"/>
    <w:rsid w:val="00672B38"/>
    <w:rsid w:val="006808C0"/>
    <w:rsid w:val="00680C6F"/>
    <w:rsid w:val="0068163F"/>
    <w:rsid w:val="00682658"/>
    <w:rsid w:val="0068293A"/>
    <w:rsid w:val="00682CD6"/>
    <w:rsid w:val="00682E3B"/>
    <w:rsid w:val="00687E55"/>
    <w:rsid w:val="006971E6"/>
    <w:rsid w:val="006B3CF7"/>
    <w:rsid w:val="006B76AF"/>
    <w:rsid w:val="006B7C9F"/>
    <w:rsid w:val="006D5ED2"/>
    <w:rsid w:val="006D6111"/>
    <w:rsid w:val="006F1C87"/>
    <w:rsid w:val="006F1D5C"/>
    <w:rsid w:val="006F4B73"/>
    <w:rsid w:val="006F693A"/>
    <w:rsid w:val="00701E98"/>
    <w:rsid w:val="00702979"/>
    <w:rsid w:val="007053A9"/>
    <w:rsid w:val="00707864"/>
    <w:rsid w:val="007103D1"/>
    <w:rsid w:val="007109E8"/>
    <w:rsid w:val="007131EB"/>
    <w:rsid w:val="0071480E"/>
    <w:rsid w:val="0072111E"/>
    <w:rsid w:val="007221D8"/>
    <w:rsid w:val="00724535"/>
    <w:rsid w:val="00726046"/>
    <w:rsid w:val="00726857"/>
    <w:rsid w:val="00727283"/>
    <w:rsid w:val="0074389D"/>
    <w:rsid w:val="00744A93"/>
    <w:rsid w:val="007453AC"/>
    <w:rsid w:val="00747871"/>
    <w:rsid w:val="00747E1E"/>
    <w:rsid w:val="007520E9"/>
    <w:rsid w:val="00755D3A"/>
    <w:rsid w:val="007606A0"/>
    <w:rsid w:val="00764C99"/>
    <w:rsid w:val="00771929"/>
    <w:rsid w:val="00776966"/>
    <w:rsid w:val="00781061"/>
    <w:rsid w:val="007810E8"/>
    <w:rsid w:val="00784884"/>
    <w:rsid w:val="00785B6E"/>
    <w:rsid w:val="007867DD"/>
    <w:rsid w:val="00787A58"/>
    <w:rsid w:val="00790A76"/>
    <w:rsid w:val="0079233E"/>
    <w:rsid w:val="00792FE2"/>
    <w:rsid w:val="00793A8E"/>
    <w:rsid w:val="007946E7"/>
    <w:rsid w:val="007A199A"/>
    <w:rsid w:val="007A3A64"/>
    <w:rsid w:val="007A51F7"/>
    <w:rsid w:val="007B388A"/>
    <w:rsid w:val="007B7AF0"/>
    <w:rsid w:val="007C1B7C"/>
    <w:rsid w:val="007C45BD"/>
    <w:rsid w:val="007C47E6"/>
    <w:rsid w:val="007C4BB8"/>
    <w:rsid w:val="007D25D8"/>
    <w:rsid w:val="007D3806"/>
    <w:rsid w:val="007D3B44"/>
    <w:rsid w:val="007D4876"/>
    <w:rsid w:val="007D4C80"/>
    <w:rsid w:val="007D564D"/>
    <w:rsid w:val="007D7009"/>
    <w:rsid w:val="007E1E8A"/>
    <w:rsid w:val="007E372F"/>
    <w:rsid w:val="007E4AC7"/>
    <w:rsid w:val="007E54A4"/>
    <w:rsid w:val="007F2B3F"/>
    <w:rsid w:val="007F5495"/>
    <w:rsid w:val="007F5EE7"/>
    <w:rsid w:val="007F62F9"/>
    <w:rsid w:val="007F709A"/>
    <w:rsid w:val="00801021"/>
    <w:rsid w:val="00802EEE"/>
    <w:rsid w:val="00807303"/>
    <w:rsid w:val="00813F13"/>
    <w:rsid w:val="008155BD"/>
    <w:rsid w:val="008218C1"/>
    <w:rsid w:val="0082239D"/>
    <w:rsid w:val="00822B32"/>
    <w:rsid w:val="008263FC"/>
    <w:rsid w:val="00827CFB"/>
    <w:rsid w:val="00831475"/>
    <w:rsid w:val="008346E9"/>
    <w:rsid w:val="00840A37"/>
    <w:rsid w:val="00853F72"/>
    <w:rsid w:val="008540DE"/>
    <w:rsid w:val="008602FD"/>
    <w:rsid w:val="00860736"/>
    <w:rsid w:val="00861E51"/>
    <w:rsid w:val="00864785"/>
    <w:rsid w:val="0086678C"/>
    <w:rsid w:val="0088000E"/>
    <w:rsid w:val="00880AA0"/>
    <w:rsid w:val="00884825"/>
    <w:rsid w:val="00894CD5"/>
    <w:rsid w:val="0089765E"/>
    <w:rsid w:val="008A279E"/>
    <w:rsid w:val="008A59F9"/>
    <w:rsid w:val="008B0584"/>
    <w:rsid w:val="008B396A"/>
    <w:rsid w:val="008B6A56"/>
    <w:rsid w:val="008C0ABC"/>
    <w:rsid w:val="008C1AF2"/>
    <w:rsid w:val="008C1C0D"/>
    <w:rsid w:val="008C233E"/>
    <w:rsid w:val="008E0A61"/>
    <w:rsid w:val="008F2B55"/>
    <w:rsid w:val="009048A1"/>
    <w:rsid w:val="00904B63"/>
    <w:rsid w:val="00907197"/>
    <w:rsid w:val="00910168"/>
    <w:rsid w:val="00913EAF"/>
    <w:rsid w:val="0091466A"/>
    <w:rsid w:val="00914799"/>
    <w:rsid w:val="00917CE9"/>
    <w:rsid w:val="00923B64"/>
    <w:rsid w:val="00927E7B"/>
    <w:rsid w:val="0093018D"/>
    <w:rsid w:val="009308C3"/>
    <w:rsid w:val="009310E4"/>
    <w:rsid w:val="00933BE3"/>
    <w:rsid w:val="00936A8C"/>
    <w:rsid w:val="00940825"/>
    <w:rsid w:val="00947D06"/>
    <w:rsid w:val="00947DE6"/>
    <w:rsid w:val="00951AF2"/>
    <w:rsid w:val="00951CA7"/>
    <w:rsid w:val="009553E3"/>
    <w:rsid w:val="009626C5"/>
    <w:rsid w:val="009649A5"/>
    <w:rsid w:val="00971180"/>
    <w:rsid w:val="00973532"/>
    <w:rsid w:val="00975D6F"/>
    <w:rsid w:val="00980F9A"/>
    <w:rsid w:val="00982387"/>
    <w:rsid w:val="00987F0E"/>
    <w:rsid w:val="0099050A"/>
    <w:rsid w:val="009905E4"/>
    <w:rsid w:val="00990A13"/>
    <w:rsid w:val="009A303C"/>
    <w:rsid w:val="009A31DB"/>
    <w:rsid w:val="009A672D"/>
    <w:rsid w:val="009B1AF5"/>
    <w:rsid w:val="009B27A6"/>
    <w:rsid w:val="009C13E9"/>
    <w:rsid w:val="009C15A7"/>
    <w:rsid w:val="009C67A2"/>
    <w:rsid w:val="009D38B3"/>
    <w:rsid w:val="009D623E"/>
    <w:rsid w:val="009D6369"/>
    <w:rsid w:val="009E570B"/>
    <w:rsid w:val="009E5E9D"/>
    <w:rsid w:val="009E6896"/>
    <w:rsid w:val="009E6A5C"/>
    <w:rsid w:val="009F15FA"/>
    <w:rsid w:val="009F2FC2"/>
    <w:rsid w:val="009F7263"/>
    <w:rsid w:val="009F73BC"/>
    <w:rsid w:val="00A07AA5"/>
    <w:rsid w:val="00A07AB3"/>
    <w:rsid w:val="00A114D4"/>
    <w:rsid w:val="00A11DE7"/>
    <w:rsid w:val="00A1463B"/>
    <w:rsid w:val="00A2386F"/>
    <w:rsid w:val="00A255EC"/>
    <w:rsid w:val="00A2758C"/>
    <w:rsid w:val="00A32E63"/>
    <w:rsid w:val="00A34F88"/>
    <w:rsid w:val="00A3655C"/>
    <w:rsid w:val="00A369CE"/>
    <w:rsid w:val="00A41727"/>
    <w:rsid w:val="00A42EE4"/>
    <w:rsid w:val="00A4487D"/>
    <w:rsid w:val="00A518AB"/>
    <w:rsid w:val="00A52741"/>
    <w:rsid w:val="00A53736"/>
    <w:rsid w:val="00A540AB"/>
    <w:rsid w:val="00A6208C"/>
    <w:rsid w:val="00A62335"/>
    <w:rsid w:val="00A6550C"/>
    <w:rsid w:val="00A72C0F"/>
    <w:rsid w:val="00A75B4A"/>
    <w:rsid w:val="00A76795"/>
    <w:rsid w:val="00A82D0A"/>
    <w:rsid w:val="00A859F4"/>
    <w:rsid w:val="00A905BA"/>
    <w:rsid w:val="00A90A85"/>
    <w:rsid w:val="00A9187A"/>
    <w:rsid w:val="00A92733"/>
    <w:rsid w:val="00AA25D8"/>
    <w:rsid w:val="00AA5349"/>
    <w:rsid w:val="00AA6B5E"/>
    <w:rsid w:val="00AB28AA"/>
    <w:rsid w:val="00AB30A2"/>
    <w:rsid w:val="00AB35FA"/>
    <w:rsid w:val="00AB4C21"/>
    <w:rsid w:val="00AB76A0"/>
    <w:rsid w:val="00AD4A5C"/>
    <w:rsid w:val="00AD730B"/>
    <w:rsid w:val="00AD7F39"/>
    <w:rsid w:val="00AE3021"/>
    <w:rsid w:val="00AE45EC"/>
    <w:rsid w:val="00AE6B23"/>
    <w:rsid w:val="00AE6FDC"/>
    <w:rsid w:val="00AE749E"/>
    <w:rsid w:val="00AE75B7"/>
    <w:rsid w:val="00AF2405"/>
    <w:rsid w:val="00B03A92"/>
    <w:rsid w:val="00B0575C"/>
    <w:rsid w:val="00B068ED"/>
    <w:rsid w:val="00B073CB"/>
    <w:rsid w:val="00B21867"/>
    <w:rsid w:val="00B3293B"/>
    <w:rsid w:val="00B3394A"/>
    <w:rsid w:val="00B34545"/>
    <w:rsid w:val="00B35C25"/>
    <w:rsid w:val="00B3631A"/>
    <w:rsid w:val="00B3734B"/>
    <w:rsid w:val="00B37431"/>
    <w:rsid w:val="00B4073C"/>
    <w:rsid w:val="00B44C23"/>
    <w:rsid w:val="00B469AF"/>
    <w:rsid w:val="00B5252D"/>
    <w:rsid w:val="00B52594"/>
    <w:rsid w:val="00B533F1"/>
    <w:rsid w:val="00B55FBD"/>
    <w:rsid w:val="00B56A45"/>
    <w:rsid w:val="00B63D24"/>
    <w:rsid w:val="00B65332"/>
    <w:rsid w:val="00B67BD4"/>
    <w:rsid w:val="00B72137"/>
    <w:rsid w:val="00B72752"/>
    <w:rsid w:val="00B80214"/>
    <w:rsid w:val="00B833A3"/>
    <w:rsid w:val="00B838A1"/>
    <w:rsid w:val="00B83C48"/>
    <w:rsid w:val="00B86B66"/>
    <w:rsid w:val="00B879FD"/>
    <w:rsid w:val="00B907FD"/>
    <w:rsid w:val="00B9209B"/>
    <w:rsid w:val="00BA38DA"/>
    <w:rsid w:val="00BB32AA"/>
    <w:rsid w:val="00BB4842"/>
    <w:rsid w:val="00BB5DDF"/>
    <w:rsid w:val="00BB62E2"/>
    <w:rsid w:val="00BC0D77"/>
    <w:rsid w:val="00BC4C55"/>
    <w:rsid w:val="00BD43A5"/>
    <w:rsid w:val="00BD4FE1"/>
    <w:rsid w:val="00BD5D59"/>
    <w:rsid w:val="00BE209D"/>
    <w:rsid w:val="00BE28CE"/>
    <w:rsid w:val="00BE2D81"/>
    <w:rsid w:val="00BE3A5B"/>
    <w:rsid w:val="00BF14BB"/>
    <w:rsid w:val="00BF1F0D"/>
    <w:rsid w:val="00BF5801"/>
    <w:rsid w:val="00BF74A0"/>
    <w:rsid w:val="00C01ABB"/>
    <w:rsid w:val="00C01FC4"/>
    <w:rsid w:val="00C02AB0"/>
    <w:rsid w:val="00C11637"/>
    <w:rsid w:val="00C1319B"/>
    <w:rsid w:val="00C13846"/>
    <w:rsid w:val="00C1758E"/>
    <w:rsid w:val="00C1787C"/>
    <w:rsid w:val="00C24528"/>
    <w:rsid w:val="00C3042B"/>
    <w:rsid w:val="00C31545"/>
    <w:rsid w:val="00C31B19"/>
    <w:rsid w:val="00C3329C"/>
    <w:rsid w:val="00C369A3"/>
    <w:rsid w:val="00C402E3"/>
    <w:rsid w:val="00C40E90"/>
    <w:rsid w:val="00C4100A"/>
    <w:rsid w:val="00C46D6A"/>
    <w:rsid w:val="00C5483A"/>
    <w:rsid w:val="00C61364"/>
    <w:rsid w:val="00C61616"/>
    <w:rsid w:val="00C63BB6"/>
    <w:rsid w:val="00C64EAD"/>
    <w:rsid w:val="00C65808"/>
    <w:rsid w:val="00C74B83"/>
    <w:rsid w:val="00C77816"/>
    <w:rsid w:val="00C81704"/>
    <w:rsid w:val="00C84448"/>
    <w:rsid w:val="00C93194"/>
    <w:rsid w:val="00C94D84"/>
    <w:rsid w:val="00CA554E"/>
    <w:rsid w:val="00CB10D7"/>
    <w:rsid w:val="00CB5AF7"/>
    <w:rsid w:val="00CB72EC"/>
    <w:rsid w:val="00CC0DA9"/>
    <w:rsid w:val="00CC2331"/>
    <w:rsid w:val="00CC60A5"/>
    <w:rsid w:val="00CC64ED"/>
    <w:rsid w:val="00CD31CF"/>
    <w:rsid w:val="00CD6D06"/>
    <w:rsid w:val="00CE0343"/>
    <w:rsid w:val="00CE1961"/>
    <w:rsid w:val="00CE6D71"/>
    <w:rsid w:val="00CE6F3F"/>
    <w:rsid w:val="00CE769D"/>
    <w:rsid w:val="00CF028F"/>
    <w:rsid w:val="00CF2536"/>
    <w:rsid w:val="00CF64FD"/>
    <w:rsid w:val="00CF6664"/>
    <w:rsid w:val="00CF7D45"/>
    <w:rsid w:val="00D002A0"/>
    <w:rsid w:val="00D02327"/>
    <w:rsid w:val="00D0587A"/>
    <w:rsid w:val="00D079CF"/>
    <w:rsid w:val="00D12A41"/>
    <w:rsid w:val="00D13C98"/>
    <w:rsid w:val="00D141C3"/>
    <w:rsid w:val="00D21121"/>
    <w:rsid w:val="00D2144A"/>
    <w:rsid w:val="00D2332B"/>
    <w:rsid w:val="00D23B33"/>
    <w:rsid w:val="00D243E4"/>
    <w:rsid w:val="00D25B94"/>
    <w:rsid w:val="00D260BC"/>
    <w:rsid w:val="00D30E22"/>
    <w:rsid w:val="00D32CCD"/>
    <w:rsid w:val="00D33022"/>
    <w:rsid w:val="00D343B7"/>
    <w:rsid w:val="00D44F9A"/>
    <w:rsid w:val="00D463D6"/>
    <w:rsid w:val="00D47297"/>
    <w:rsid w:val="00D50133"/>
    <w:rsid w:val="00D51D4C"/>
    <w:rsid w:val="00D52833"/>
    <w:rsid w:val="00D530BF"/>
    <w:rsid w:val="00D5625F"/>
    <w:rsid w:val="00D658A1"/>
    <w:rsid w:val="00D65E41"/>
    <w:rsid w:val="00D661D1"/>
    <w:rsid w:val="00D705E8"/>
    <w:rsid w:val="00D737A0"/>
    <w:rsid w:val="00D7474F"/>
    <w:rsid w:val="00D77B4C"/>
    <w:rsid w:val="00D813F9"/>
    <w:rsid w:val="00D83A45"/>
    <w:rsid w:val="00D83D46"/>
    <w:rsid w:val="00D92F76"/>
    <w:rsid w:val="00D9308E"/>
    <w:rsid w:val="00D9476C"/>
    <w:rsid w:val="00DA1624"/>
    <w:rsid w:val="00DA16DB"/>
    <w:rsid w:val="00DB19DD"/>
    <w:rsid w:val="00DB33EB"/>
    <w:rsid w:val="00DB55A4"/>
    <w:rsid w:val="00DC270B"/>
    <w:rsid w:val="00DC2B29"/>
    <w:rsid w:val="00DD39EB"/>
    <w:rsid w:val="00DD531B"/>
    <w:rsid w:val="00DD74D7"/>
    <w:rsid w:val="00DE0347"/>
    <w:rsid w:val="00DE2A1D"/>
    <w:rsid w:val="00DE2FDE"/>
    <w:rsid w:val="00DE32D0"/>
    <w:rsid w:val="00DF0BE4"/>
    <w:rsid w:val="00DF0E5A"/>
    <w:rsid w:val="00DF1C5C"/>
    <w:rsid w:val="00DF24F3"/>
    <w:rsid w:val="00DF2C77"/>
    <w:rsid w:val="00DF667C"/>
    <w:rsid w:val="00DF7AC1"/>
    <w:rsid w:val="00E0256E"/>
    <w:rsid w:val="00E048AD"/>
    <w:rsid w:val="00E05E23"/>
    <w:rsid w:val="00E11F4A"/>
    <w:rsid w:val="00E12E86"/>
    <w:rsid w:val="00E13F3F"/>
    <w:rsid w:val="00E176CF"/>
    <w:rsid w:val="00E24994"/>
    <w:rsid w:val="00E24C09"/>
    <w:rsid w:val="00E2587F"/>
    <w:rsid w:val="00E302C6"/>
    <w:rsid w:val="00E31AB0"/>
    <w:rsid w:val="00E37E5E"/>
    <w:rsid w:val="00E43AF9"/>
    <w:rsid w:val="00E44D7A"/>
    <w:rsid w:val="00E44D97"/>
    <w:rsid w:val="00E45A43"/>
    <w:rsid w:val="00E46119"/>
    <w:rsid w:val="00E5623C"/>
    <w:rsid w:val="00E56F64"/>
    <w:rsid w:val="00E61E67"/>
    <w:rsid w:val="00E654F3"/>
    <w:rsid w:val="00E664B2"/>
    <w:rsid w:val="00E707E6"/>
    <w:rsid w:val="00E72A62"/>
    <w:rsid w:val="00E741BD"/>
    <w:rsid w:val="00E744AA"/>
    <w:rsid w:val="00E779CA"/>
    <w:rsid w:val="00E80365"/>
    <w:rsid w:val="00E803FC"/>
    <w:rsid w:val="00E832A0"/>
    <w:rsid w:val="00E84987"/>
    <w:rsid w:val="00E85390"/>
    <w:rsid w:val="00E93023"/>
    <w:rsid w:val="00E97A1B"/>
    <w:rsid w:val="00EA114B"/>
    <w:rsid w:val="00EA2D6E"/>
    <w:rsid w:val="00EA2F05"/>
    <w:rsid w:val="00EA43F2"/>
    <w:rsid w:val="00EB5031"/>
    <w:rsid w:val="00EB5913"/>
    <w:rsid w:val="00EC4DE5"/>
    <w:rsid w:val="00EC5486"/>
    <w:rsid w:val="00EC7013"/>
    <w:rsid w:val="00ED4311"/>
    <w:rsid w:val="00ED45BE"/>
    <w:rsid w:val="00EE254C"/>
    <w:rsid w:val="00EE26E6"/>
    <w:rsid w:val="00EE490F"/>
    <w:rsid w:val="00EE55D2"/>
    <w:rsid w:val="00EF17BD"/>
    <w:rsid w:val="00EF27BC"/>
    <w:rsid w:val="00EF393E"/>
    <w:rsid w:val="00EF3BB4"/>
    <w:rsid w:val="00EF3F11"/>
    <w:rsid w:val="00EF7BF1"/>
    <w:rsid w:val="00F009AE"/>
    <w:rsid w:val="00F046DC"/>
    <w:rsid w:val="00F04805"/>
    <w:rsid w:val="00F11E4E"/>
    <w:rsid w:val="00F15A0F"/>
    <w:rsid w:val="00F163B8"/>
    <w:rsid w:val="00F202C9"/>
    <w:rsid w:val="00F21386"/>
    <w:rsid w:val="00F22CF4"/>
    <w:rsid w:val="00F250D7"/>
    <w:rsid w:val="00F27C75"/>
    <w:rsid w:val="00F33719"/>
    <w:rsid w:val="00F33D2B"/>
    <w:rsid w:val="00F3640C"/>
    <w:rsid w:val="00F45F7A"/>
    <w:rsid w:val="00F518C9"/>
    <w:rsid w:val="00F51CDE"/>
    <w:rsid w:val="00F524C5"/>
    <w:rsid w:val="00F541CB"/>
    <w:rsid w:val="00F55288"/>
    <w:rsid w:val="00F6535A"/>
    <w:rsid w:val="00F710F8"/>
    <w:rsid w:val="00F760C2"/>
    <w:rsid w:val="00F809CC"/>
    <w:rsid w:val="00F847F0"/>
    <w:rsid w:val="00F872B1"/>
    <w:rsid w:val="00F926F5"/>
    <w:rsid w:val="00F93A65"/>
    <w:rsid w:val="00F96D21"/>
    <w:rsid w:val="00FA0F11"/>
    <w:rsid w:val="00FA30B4"/>
    <w:rsid w:val="00FA34DB"/>
    <w:rsid w:val="00FA4FC7"/>
    <w:rsid w:val="00FA5E08"/>
    <w:rsid w:val="00FA6141"/>
    <w:rsid w:val="00FB31E9"/>
    <w:rsid w:val="00FB3570"/>
    <w:rsid w:val="00FB3679"/>
    <w:rsid w:val="00FC0C79"/>
    <w:rsid w:val="00FC20B1"/>
    <w:rsid w:val="00FC6176"/>
    <w:rsid w:val="00FC639F"/>
    <w:rsid w:val="00FC665D"/>
    <w:rsid w:val="00FD057F"/>
    <w:rsid w:val="00FD0D3E"/>
    <w:rsid w:val="00FD0F0C"/>
    <w:rsid w:val="00FD2ED6"/>
    <w:rsid w:val="00FD39E3"/>
    <w:rsid w:val="00FD6CEF"/>
    <w:rsid w:val="00FE117F"/>
    <w:rsid w:val="00FE5626"/>
    <w:rsid w:val="00FF09B1"/>
    <w:rsid w:val="00FF0F78"/>
    <w:rsid w:val="00FF5680"/>
    <w:rsid w:val="00FF7D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Document Map"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7009"/>
    <w:pPr>
      <w:spacing w:line="360" w:lineRule="auto"/>
    </w:pPr>
    <w:rPr>
      <w:sz w:val="24"/>
      <w:szCs w:val="24"/>
    </w:rPr>
  </w:style>
  <w:style w:type="paragraph" w:styleId="Heading1">
    <w:name w:val="heading 1"/>
    <w:basedOn w:val="Normal"/>
    <w:next w:val="Normal"/>
    <w:link w:val="Heading1Char"/>
    <w:qFormat/>
    <w:rsid w:val="00DD74D7"/>
    <w:pPr>
      <w:keepNext/>
      <w:numPr>
        <w:numId w:val="1"/>
      </w:numPr>
      <w:spacing w:before="1440" w:after="60"/>
      <w:jc w:val="center"/>
      <w:outlineLvl w:val="0"/>
    </w:pPr>
    <w:rPr>
      <w:rFonts w:cs="Arial"/>
      <w:b/>
      <w:bCs/>
      <w:kern w:val="32"/>
    </w:rPr>
  </w:style>
  <w:style w:type="paragraph" w:styleId="Heading2">
    <w:name w:val="heading 2"/>
    <w:basedOn w:val="Normal"/>
    <w:next w:val="Normal"/>
    <w:link w:val="Heading2Char"/>
    <w:qFormat/>
    <w:rsid w:val="008B0584"/>
    <w:pPr>
      <w:keepNext/>
      <w:numPr>
        <w:ilvl w:val="1"/>
        <w:numId w:val="1"/>
      </w:numPr>
      <w:spacing w:before="240" w:after="60"/>
      <w:outlineLvl w:val="1"/>
    </w:pPr>
    <w:rPr>
      <w:rFonts w:cs="Arial"/>
      <w:b/>
      <w:bCs/>
      <w:iCs/>
      <w:u w:val="single"/>
    </w:rPr>
  </w:style>
  <w:style w:type="paragraph" w:styleId="Heading3">
    <w:name w:val="heading 3"/>
    <w:basedOn w:val="Normal"/>
    <w:next w:val="Normal"/>
    <w:link w:val="Heading3Char"/>
    <w:qFormat/>
    <w:rsid w:val="008B0584"/>
    <w:pPr>
      <w:keepNext/>
      <w:numPr>
        <w:ilvl w:val="2"/>
        <w:numId w:val="1"/>
      </w:numPr>
      <w:spacing w:before="240" w:after="60"/>
      <w:outlineLvl w:val="2"/>
    </w:pPr>
    <w:rPr>
      <w:rFonts w:cs="Arial"/>
      <w:b/>
      <w:bCs/>
    </w:rPr>
  </w:style>
  <w:style w:type="paragraph" w:styleId="Heading4">
    <w:name w:val="heading 4"/>
    <w:basedOn w:val="Normal"/>
    <w:next w:val="Normal"/>
    <w:link w:val="Heading4Char"/>
    <w:qFormat/>
    <w:rsid w:val="008B0584"/>
    <w:pPr>
      <w:keepNext/>
      <w:numPr>
        <w:ilvl w:val="3"/>
        <w:numId w:val="1"/>
      </w:numPr>
      <w:spacing w:before="240" w:after="60"/>
      <w:outlineLvl w:val="3"/>
    </w:pPr>
    <w:rPr>
      <w:b/>
      <w:bCs/>
      <w:i/>
    </w:rPr>
  </w:style>
  <w:style w:type="paragraph" w:styleId="Heading5">
    <w:name w:val="heading 5"/>
    <w:basedOn w:val="Normal"/>
    <w:next w:val="Normal"/>
    <w:link w:val="Heading5Char"/>
    <w:qFormat/>
    <w:rsid w:val="008B0584"/>
    <w:pPr>
      <w:numPr>
        <w:ilvl w:val="4"/>
        <w:numId w:val="1"/>
      </w:numPr>
      <w:spacing w:before="240" w:after="60"/>
      <w:outlineLvl w:val="4"/>
    </w:pPr>
    <w:rPr>
      <w:bCs/>
      <w:i/>
      <w:iCs/>
    </w:rPr>
  </w:style>
  <w:style w:type="paragraph" w:styleId="Heading6">
    <w:name w:val="heading 6"/>
    <w:basedOn w:val="Normal"/>
    <w:next w:val="Normal"/>
    <w:link w:val="Heading6Char"/>
    <w:qFormat/>
    <w:rsid w:val="008B0584"/>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B0584"/>
    <w:pPr>
      <w:numPr>
        <w:ilvl w:val="6"/>
        <w:numId w:val="1"/>
      </w:numPr>
      <w:spacing w:before="240" w:after="60"/>
      <w:outlineLvl w:val="6"/>
    </w:pPr>
  </w:style>
  <w:style w:type="paragraph" w:styleId="Heading8">
    <w:name w:val="heading 8"/>
    <w:basedOn w:val="Normal"/>
    <w:next w:val="Normal"/>
    <w:link w:val="Heading8Char"/>
    <w:qFormat/>
    <w:rsid w:val="008B0584"/>
    <w:pPr>
      <w:numPr>
        <w:ilvl w:val="7"/>
        <w:numId w:val="1"/>
      </w:numPr>
      <w:spacing w:before="240" w:after="60"/>
      <w:outlineLvl w:val="7"/>
    </w:pPr>
    <w:rPr>
      <w:i/>
      <w:iCs/>
    </w:rPr>
  </w:style>
  <w:style w:type="paragraph" w:styleId="Heading9">
    <w:name w:val="heading 9"/>
    <w:basedOn w:val="Normal"/>
    <w:next w:val="Normal"/>
    <w:link w:val="Heading9Char"/>
    <w:qFormat/>
    <w:rsid w:val="008B0584"/>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92941"/>
    <w:pPr>
      <w:jc w:val="center"/>
    </w:pPr>
    <w:rPr>
      <w:b/>
      <w:bCs/>
    </w:rPr>
  </w:style>
  <w:style w:type="paragraph" w:styleId="TableofFigures">
    <w:name w:val="table of figures"/>
    <w:basedOn w:val="Normal"/>
    <w:next w:val="Normal"/>
    <w:uiPriority w:val="99"/>
    <w:rsid w:val="001C4D93"/>
  </w:style>
  <w:style w:type="character" w:styleId="Hyperlink">
    <w:name w:val="Hyperlink"/>
    <w:basedOn w:val="DefaultParagraphFont"/>
    <w:uiPriority w:val="99"/>
    <w:rsid w:val="001C4D93"/>
    <w:rPr>
      <w:color w:val="0000FF"/>
      <w:u w:val="single"/>
    </w:rPr>
  </w:style>
  <w:style w:type="paragraph" w:styleId="BalloonText">
    <w:name w:val="Balloon Text"/>
    <w:basedOn w:val="Normal"/>
    <w:link w:val="BalloonTextChar"/>
    <w:uiPriority w:val="99"/>
    <w:rsid w:val="00A623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62335"/>
    <w:rPr>
      <w:rFonts w:ascii="Tahoma" w:hAnsi="Tahoma" w:cs="Tahoma"/>
      <w:sz w:val="16"/>
      <w:szCs w:val="16"/>
    </w:rPr>
  </w:style>
  <w:style w:type="paragraph" w:styleId="TOCHeading">
    <w:name w:val="TOC Heading"/>
    <w:basedOn w:val="Heading1"/>
    <w:next w:val="Normal"/>
    <w:uiPriority w:val="39"/>
    <w:semiHidden/>
    <w:unhideWhenUsed/>
    <w:qFormat/>
    <w:rsid w:val="00076840"/>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rsid w:val="00076840"/>
    <w:pPr>
      <w:spacing w:after="100"/>
    </w:pPr>
  </w:style>
  <w:style w:type="paragraph" w:styleId="TOC2">
    <w:name w:val="toc 2"/>
    <w:basedOn w:val="Normal"/>
    <w:next w:val="Normal"/>
    <w:autoRedefine/>
    <w:uiPriority w:val="39"/>
    <w:rsid w:val="00076840"/>
    <w:pPr>
      <w:spacing w:after="100"/>
      <w:ind w:left="240"/>
    </w:pPr>
  </w:style>
  <w:style w:type="paragraph" w:styleId="TOC3">
    <w:name w:val="toc 3"/>
    <w:basedOn w:val="Normal"/>
    <w:next w:val="Normal"/>
    <w:autoRedefine/>
    <w:uiPriority w:val="39"/>
    <w:rsid w:val="00076840"/>
    <w:pPr>
      <w:spacing w:after="100"/>
      <w:ind w:left="480"/>
    </w:pPr>
  </w:style>
  <w:style w:type="table" w:styleId="TableGrid">
    <w:name w:val="Table Grid"/>
    <w:basedOn w:val="TableNormal"/>
    <w:uiPriority w:val="59"/>
    <w:rsid w:val="00A72C0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72C0F"/>
    <w:pPr>
      <w:spacing w:after="200" w:line="276"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273E7E"/>
    <w:rPr>
      <w:color w:val="808080"/>
    </w:rPr>
  </w:style>
  <w:style w:type="paragraph" w:styleId="DocumentMap">
    <w:name w:val="Document Map"/>
    <w:basedOn w:val="Normal"/>
    <w:link w:val="DocumentMapChar"/>
    <w:uiPriority w:val="99"/>
    <w:rsid w:val="00F15A0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F15A0F"/>
    <w:rPr>
      <w:rFonts w:ascii="Tahoma" w:hAnsi="Tahoma" w:cs="Tahoma"/>
      <w:sz w:val="16"/>
      <w:szCs w:val="16"/>
    </w:rPr>
  </w:style>
  <w:style w:type="character" w:customStyle="1" w:styleId="Heading1Char">
    <w:name w:val="Heading 1 Char"/>
    <w:basedOn w:val="DefaultParagraphFont"/>
    <w:link w:val="Heading1"/>
    <w:rsid w:val="00DD74D7"/>
    <w:rPr>
      <w:rFonts w:cs="Arial"/>
      <w:b/>
      <w:bCs/>
      <w:kern w:val="32"/>
      <w:sz w:val="24"/>
      <w:szCs w:val="24"/>
    </w:rPr>
  </w:style>
  <w:style w:type="character" w:customStyle="1" w:styleId="Heading2Char">
    <w:name w:val="Heading 2 Char"/>
    <w:basedOn w:val="DefaultParagraphFont"/>
    <w:link w:val="Heading2"/>
    <w:rsid w:val="00F202C9"/>
    <w:rPr>
      <w:rFonts w:cs="Arial"/>
      <w:b/>
      <w:bCs/>
      <w:iCs/>
      <w:sz w:val="24"/>
      <w:szCs w:val="24"/>
      <w:u w:val="single"/>
    </w:rPr>
  </w:style>
  <w:style w:type="character" w:customStyle="1" w:styleId="Heading3Char">
    <w:name w:val="Heading 3 Char"/>
    <w:basedOn w:val="DefaultParagraphFont"/>
    <w:link w:val="Heading3"/>
    <w:rsid w:val="00F202C9"/>
    <w:rPr>
      <w:rFonts w:cs="Arial"/>
      <w:b/>
      <w:bCs/>
      <w:sz w:val="24"/>
      <w:szCs w:val="24"/>
    </w:rPr>
  </w:style>
  <w:style w:type="character" w:customStyle="1" w:styleId="Heading4Char">
    <w:name w:val="Heading 4 Char"/>
    <w:basedOn w:val="DefaultParagraphFont"/>
    <w:link w:val="Heading4"/>
    <w:rsid w:val="00F202C9"/>
    <w:rPr>
      <w:b/>
      <w:bCs/>
      <w:i/>
      <w:sz w:val="24"/>
      <w:szCs w:val="24"/>
    </w:rPr>
  </w:style>
  <w:style w:type="character" w:customStyle="1" w:styleId="Heading5Char">
    <w:name w:val="Heading 5 Char"/>
    <w:basedOn w:val="DefaultParagraphFont"/>
    <w:link w:val="Heading5"/>
    <w:rsid w:val="00F202C9"/>
    <w:rPr>
      <w:bCs/>
      <w:i/>
      <w:iCs/>
      <w:sz w:val="24"/>
      <w:szCs w:val="24"/>
    </w:rPr>
  </w:style>
  <w:style w:type="character" w:customStyle="1" w:styleId="Heading6Char">
    <w:name w:val="Heading 6 Char"/>
    <w:basedOn w:val="DefaultParagraphFont"/>
    <w:link w:val="Heading6"/>
    <w:rsid w:val="00F202C9"/>
    <w:rPr>
      <w:b/>
      <w:bCs/>
      <w:sz w:val="22"/>
      <w:szCs w:val="22"/>
    </w:rPr>
  </w:style>
  <w:style w:type="character" w:customStyle="1" w:styleId="Heading7Char">
    <w:name w:val="Heading 7 Char"/>
    <w:basedOn w:val="DefaultParagraphFont"/>
    <w:link w:val="Heading7"/>
    <w:rsid w:val="00F202C9"/>
    <w:rPr>
      <w:sz w:val="24"/>
      <w:szCs w:val="24"/>
    </w:rPr>
  </w:style>
  <w:style w:type="character" w:customStyle="1" w:styleId="Heading8Char">
    <w:name w:val="Heading 8 Char"/>
    <w:basedOn w:val="DefaultParagraphFont"/>
    <w:link w:val="Heading8"/>
    <w:rsid w:val="00F202C9"/>
    <w:rPr>
      <w:i/>
      <w:iCs/>
      <w:sz w:val="24"/>
      <w:szCs w:val="24"/>
    </w:rPr>
  </w:style>
  <w:style w:type="character" w:customStyle="1" w:styleId="Heading9Char">
    <w:name w:val="Heading 9 Char"/>
    <w:basedOn w:val="DefaultParagraphFont"/>
    <w:link w:val="Heading9"/>
    <w:rsid w:val="00F202C9"/>
    <w:rPr>
      <w:rFonts w:ascii="Arial" w:hAnsi="Arial" w:cs="Arial"/>
      <w:sz w:val="22"/>
      <w:szCs w:val="22"/>
    </w:rPr>
  </w:style>
  <w:style w:type="paragraph" w:styleId="Title">
    <w:name w:val="Title"/>
    <w:basedOn w:val="Normal"/>
    <w:next w:val="Normal"/>
    <w:link w:val="TitleChar"/>
    <w:qFormat/>
    <w:rsid w:val="00F202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202C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F202C9"/>
    <w:pPr>
      <w:numPr>
        <w:ilvl w:val="1"/>
      </w:numPr>
      <w:ind w:firstLine="72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202C9"/>
    <w:rPr>
      <w:rFonts w:asciiTheme="majorHAnsi" w:eastAsiaTheme="majorEastAsia" w:hAnsiTheme="majorHAnsi" w:cstheme="majorBidi"/>
      <w:i/>
      <w:iCs/>
      <w:color w:val="4F81BD" w:themeColor="accent1"/>
      <w:spacing w:val="15"/>
      <w:sz w:val="24"/>
      <w:szCs w:val="24"/>
    </w:rPr>
  </w:style>
  <w:style w:type="character" w:styleId="Strong">
    <w:name w:val="Strong"/>
    <w:qFormat/>
    <w:rsid w:val="00F202C9"/>
    <w:rPr>
      <w:b/>
      <w:bCs/>
    </w:rPr>
  </w:style>
  <w:style w:type="character" w:styleId="Emphasis">
    <w:name w:val="Emphasis"/>
    <w:qFormat/>
    <w:rsid w:val="00F202C9"/>
    <w:rPr>
      <w:i/>
      <w:iCs/>
    </w:rPr>
  </w:style>
  <w:style w:type="paragraph" w:styleId="NoSpacing">
    <w:name w:val="No Spacing"/>
    <w:basedOn w:val="Normal"/>
    <w:uiPriority w:val="1"/>
    <w:qFormat/>
    <w:rsid w:val="00F202C9"/>
    <w:pPr>
      <w:spacing w:line="240" w:lineRule="auto"/>
    </w:pPr>
  </w:style>
  <w:style w:type="paragraph" w:styleId="Quote">
    <w:name w:val="Quote"/>
    <w:basedOn w:val="Normal"/>
    <w:next w:val="Normal"/>
    <w:link w:val="QuoteChar"/>
    <w:uiPriority w:val="29"/>
    <w:qFormat/>
    <w:rsid w:val="00F202C9"/>
    <w:rPr>
      <w:i/>
      <w:iCs/>
      <w:color w:val="000000" w:themeColor="text1"/>
    </w:rPr>
  </w:style>
  <w:style w:type="character" w:customStyle="1" w:styleId="QuoteChar">
    <w:name w:val="Quote Char"/>
    <w:basedOn w:val="DefaultParagraphFont"/>
    <w:link w:val="Quote"/>
    <w:uiPriority w:val="29"/>
    <w:rsid w:val="00F202C9"/>
    <w:rPr>
      <w:i/>
      <w:iCs/>
      <w:color w:val="000000" w:themeColor="text1"/>
      <w:sz w:val="24"/>
      <w:szCs w:val="24"/>
    </w:rPr>
  </w:style>
  <w:style w:type="paragraph" w:styleId="IntenseQuote">
    <w:name w:val="Intense Quote"/>
    <w:basedOn w:val="Normal"/>
    <w:next w:val="Normal"/>
    <w:link w:val="IntenseQuoteChar"/>
    <w:uiPriority w:val="30"/>
    <w:qFormat/>
    <w:rsid w:val="00F202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02C9"/>
    <w:rPr>
      <w:b/>
      <w:bCs/>
      <w:i/>
      <w:iCs/>
      <w:color w:val="4F81BD" w:themeColor="accent1"/>
      <w:sz w:val="24"/>
      <w:szCs w:val="24"/>
    </w:rPr>
  </w:style>
  <w:style w:type="character" w:styleId="SubtleEmphasis">
    <w:name w:val="Subtle Emphasis"/>
    <w:uiPriority w:val="19"/>
    <w:qFormat/>
    <w:rsid w:val="00F202C9"/>
    <w:rPr>
      <w:i/>
      <w:iCs/>
      <w:color w:val="808080" w:themeColor="text1" w:themeTint="7F"/>
    </w:rPr>
  </w:style>
  <w:style w:type="character" w:styleId="IntenseEmphasis">
    <w:name w:val="Intense Emphasis"/>
    <w:uiPriority w:val="21"/>
    <w:qFormat/>
    <w:rsid w:val="00F202C9"/>
    <w:rPr>
      <w:b/>
      <w:bCs/>
      <w:i/>
      <w:iCs/>
      <w:color w:val="4F81BD" w:themeColor="accent1"/>
    </w:rPr>
  </w:style>
  <w:style w:type="character" w:styleId="SubtleReference">
    <w:name w:val="Subtle Reference"/>
    <w:uiPriority w:val="31"/>
    <w:qFormat/>
    <w:rsid w:val="00F202C9"/>
    <w:rPr>
      <w:smallCaps/>
      <w:color w:val="C0504D" w:themeColor="accent2"/>
      <w:u w:val="single"/>
    </w:rPr>
  </w:style>
  <w:style w:type="character" w:styleId="IntenseReference">
    <w:name w:val="Intense Reference"/>
    <w:uiPriority w:val="32"/>
    <w:qFormat/>
    <w:rsid w:val="00F202C9"/>
    <w:rPr>
      <w:b/>
      <w:bCs/>
      <w:smallCaps/>
      <w:color w:val="C0504D" w:themeColor="accent2"/>
      <w:spacing w:val="5"/>
      <w:u w:val="single"/>
    </w:rPr>
  </w:style>
  <w:style w:type="character" w:styleId="BookTitle">
    <w:name w:val="Book Title"/>
    <w:uiPriority w:val="33"/>
    <w:qFormat/>
    <w:rsid w:val="00F202C9"/>
    <w:rPr>
      <w:b/>
      <w:bCs/>
      <w:smallCaps/>
      <w:spacing w:val="5"/>
    </w:rPr>
  </w:style>
  <w:style w:type="paragraph" w:styleId="Header">
    <w:name w:val="header"/>
    <w:basedOn w:val="Normal"/>
    <w:link w:val="HeaderChar"/>
    <w:uiPriority w:val="99"/>
    <w:unhideWhenUsed/>
    <w:rsid w:val="00F202C9"/>
    <w:pPr>
      <w:tabs>
        <w:tab w:val="center" w:pos="4680"/>
        <w:tab w:val="right" w:pos="9360"/>
      </w:tabs>
      <w:spacing w:line="240" w:lineRule="auto"/>
    </w:pPr>
  </w:style>
  <w:style w:type="character" w:customStyle="1" w:styleId="HeaderChar">
    <w:name w:val="Header Char"/>
    <w:basedOn w:val="DefaultParagraphFont"/>
    <w:link w:val="Header"/>
    <w:uiPriority w:val="99"/>
    <w:rsid w:val="00F202C9"/>
    <w:rPr>
      <w:sz w:val="24"/>
      <w:szCs w:val="24"/>
    </w:rPr>
  </w:style>
  <w:style w:type="paragraph" w:styleId="Footer">
    <w:name w:val="footer"/>
    <w:basedOn w:val="Normal"/>
    <w:link w:val="FooterChar"/>
    <w:uiPriority w:val="99"/>
    <w:unhideWhenUsed/>
    <w:rsid w:val="00F202C9"/>
    <w:pPr>
      <w:tabs>
        <w:tab w:val="center" w:pos="4680"/>
        <w:tab w:val="right" w:pos="9360"/>
      </w:tabs>
      <w:spacing w:line="240" w:lineRule="auto"/>
    </w:pPr>
  </w:style>
  <w:style w:type="character" w:customStyle="1" w:styleId="FooterChar">
    <w:name w:val="Footer Char"/>
    <w:basedOn w:val="DefaultParagraphFont"/>
    <w:link w:val="Footer"/>
    <w:uiPriority w:val="99"/>
    <w:rsid w:val="00F202C9"/>
    <w:rPr>
      <w:sz w:val="24"/>
      <w:szCs w:val="24"/>
    </w:rPr>
  </w:style>
  <w:style w:type="paragraph" w:styleId="TOC4">
    <w:name w:val="toc 4"/>
    <w:basedOn w:val="Normal"/>
    <w:next w:val="Normal"/>
    <w:autoRedefine/>
    <w:uiPriority w:val="39"/>
    <w:rsid w:val="006F1D5C"/>
    <w:pPr>
      <w:spacing w:after="100"/>
      <w:ind w:left="720"/>
    </w:pPr>
  </w:style>
</w:styles>
</file>

<file path=word/webSettings.xml><?xml version="1.0" encoding="utf-8"?>
<w:webSettings xmlns:r="http://schemas.openxmlformats.org/officeDocument/2006/relationships" xmlns:w="http://schemas.openxmlformats.org/wordprocessingml/2006/main">
  <w:divs>
    <w:div w:id="207770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40.emf"/><Relationship Id="rId50" Type="http://schemas.openxmlformats.org/officeDocument/2006/relationships/image" Target="media/image43.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8" Type="http://schemas.openxmlformats.org/officeDocument/2006/relationships/image" Target="media/image1.emf"/><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Cho041</b:Tag>
    <b:SourceType>Report</b:SourceType>
    <b:Guid>{C07AB1B5-0AC9-464D-B5E3-463FA87512B5}</b:Guid>
    <b:LCID>0</b:LCID>
    <b:Author>
      <b:Author>
        <b:NameList>
          <b:Person>
            <b:Last>Chovichien</b:Last>
            <b:First>Voroniti</b:First>
          </b:Person>
        </b:NameList>
      </b:Author>
    </b:Author>
    <b:Title>The Behavior and Design of Piles for Integral Abutment Bridges</b:Title>
    <b:Year>2004</b:Year>
    <b:Publisher>Purdue University</b:Publisher>
    <b:City>West Lafayette</b:City>
    <b:ThesisType>PhD Thesis</b:ThesisType>
    <b:RefOrder>1</b:RefOrder>
  </b:Source>
</b:Sources>
</file>

<file path=customXml/itemProps1.xml><?xml version="1.0" encoding="utf-8"?>
<ds:datastoreItem xmlns:ds="http://schemas.openxmlformats.org/officeDocument/2006/customXml" ds:itemID="{38AB5531-18BB-4761-BD84-89E20854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2242</TotalTime>
  <Pages>54</Pages>
  <Words>3754</Words>
  <Characters>21399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Aaron Talbott</dc:creator>
  <cp:keywords/>
  <cp:lastModifiedBy>Aaron Talbott</cp:lastModifiedBy>
  <cp:revision>131</cp:revision>
  <cp:lastPrinted>2008-04-22T16:12:00Z</cp:lastPrinted>
  <dcterms:created xsi:type="dcterms:W3CDTF">2008-02-23T21:10:00Z</dcterms:created>
  <dcterms:modified xsi:type="dcterms:W3CDTF">2008-04-22T16:13:00Z</dcterms:modified>
</cp:coreProperties>
</file>