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D38AA5B" w14:textId="77777777" w:rsidR="00F64437" w:rsidRDefault="00DD3FEF">
      <w:pPr>
        <w:pStyle w:val="Title"/>
      </w:pPr>
      <w:bookmarkStart w:id="0" w:name="h.gjdgxs" w:colFirst="0" w:colLast="0"/>
      <w:bookmarkEnd w:id="0"/>
      <w:r>
        <w:t>Legal Analysis</w:t>
      </w:r>
    </w:p>
    <w:p w14:paraId="61EC53E0" w14:textId="77777777" w:rsidR="00F64437" w:rsidRDefault="00F64437">
      <w:pPr>
        <w:pStyle w:val="Title"/>
      </w:pPr>
    </w:p>
    <w:p w14:paraId="425AAB04" w14:textId="77777777" w:rsidR="00F64437" w:rsidRDefault="00DD3FEF">
      <w:pPr>
        <w:pStyle w:val="Title"/>
        <w:jc w:val="left"/>
      </w:pPr>
      <w:r>
        <w:rPr>
          <w:sz w:val="24"/>
        </w:rPr>
        <w:t xml:space="preserve">Year: </w:t>
      </w:r>
      <w:r>
        <w:rPr>
          <w:b w:val="0"/>
          <w:sz w:val="24"/>
        </w:rPr>
        <w:t>2014</w:t>
      </w:r>
      <w:r>
        <w:rPr>
          <w:sz w:val="24"/>
        </w:rPr>
        <w:t xml:space="preserve"> </w:t>
      </w:r>
      <w:r>
        <w:rPr>
          <w:sz w:val="24"/>
        </w:rPr>
        <w:tab/>
        <w:t xml:space="preserve">Semester: </w:t>
      </w:r>
      <w:r>
        <w:rPr>
          <w:b w:val="0"/>
          <w:sz w:val="24"/>
        </w:rPr>
        <w:t>Fall</w:t>
      </w:r>
      <w:r>
        <w:rPr>
          <w:sz w:val="24"/>
        </w:rPr>
        <w:t xml:space="preserve"> </w:t>
      </w:r>
      <w:r>
        <w:rPr>
          <w:sz w:val="24"/>
        </w:rPr>
        <w:tab/>
        <w:t xml:space="preserve">Team: 7          Project: </w:t>
      </w:r>
      <w:r>
        <w:rPr>
          <w:b w:val="0"/>
          <w:sz w:val="24"/>
        </w:rPr>
        <w:t>Digital Knockout</w:t>
      </w:r>
    </w:p>
    <w:p w14:paraId="2B5F8ED9" w14:textId="77777777" w:rsidR="00F64437" w:rsidRDefault="00DD3FEF">
      <w:pPr>
        <w:pStyle w:val="Title"/>
        <w:jc w:val="left"/>
      </w:pPr>
      <w:r>
        <w:rPr>
          <w:sz w:val="24"/>
        </w:rPr>
        <w:t xml:space="preserve">Creation Date: </w:t>
      </w:r>
      <w:r>
        <w:rPr>
          <w:b w:val="0"/>
          <w:sz w:val="24"/>
        </w:rPr>
        <w:t>October 2, 2014</w:t>
      </w:r>
      <w:r>
        <w:rPr>
          <w:sz w:val="24"/>
        </w:rPr>
        <w:tab/>
        <w:t xml:space="preserve"> </w:t>
      </w:r>
      <w:r>
        <w:rPr>
          <w:sz w:val="24"/>
        </w:rPr>
        <w:tab/>
      </w:r>
      <w:r>
        <w:rPr>
          <w:sz w:val="24"/>
        </w:rPr>
        <w:tab/>
        <w:t xml:space="preserve">Last Modified: </w:t>
      </w:r>
      <w:r>
        <w:rPr>
          <w:b w:val="0"/>
          <w:sz w:val="24"/>
        </w:rPr>
        <w:t>October 31, 2014</w:t>
      </w:r>
    </w:p>
    <w:p w14:paraId="0BF7DEDF" w14:textId="34CD94AC" w:rsidR="00F64437" w:rsidRDefault="00DD3FEF">
      <w:pPr>
        <w:pStyle w:val="Title"/>
        <w:jc w:val="left"/>
      </w:pPr>
      <w:r>
        <w:rPr>
          <w:sz w:val="24"/>
        </w:rPr>
        <w:t xml:space="preserve">Author:  </w:t>
      </w:r>
      <w:r w:rsidR="001B1EC4">
        <w:rPr>
          <w:b w:val="0"/>
          <w:sz w:val="24"/>
        </w:rPr>
        <w:t>&lt;redacted&gt;</w:t>
      </w:r>
      <w:r w:rsidR="001B1EC4">
        <w:rPr>
          <w:b w:val="0"/>
          <w:sz w:val="24"/>
        </w:rPr>
        <w:tab/>
      </w:r>
      <w:r>
        <w:rPr>
          <w:sz w:val="24"/>
        </w:rPr>
        <w:tab/>
      </w:r>
      <w:r>
        <w:rPr>
          <w:sz w:val="24"/>
        </w:rPr>
        <w:tab/>
      </w:r>
      <w:r>
        <w:rPr>
          <w:sz w:val="24"/>
        </w:rPr>
        <w:tab/>
      </w:r>
      <w:r>
        <w:rPr>
          <w:sz w:val="24"/>
        </w:rPr>
        <w:tab/>
        <w:t xml:space="preserve">Email: </w:t>
      </w:r>
      <w:r w:rsidR="001B1EC4" w:rsidRPr="001B1EC4">
        <w:rPr>
          <w:b w:val="0"/>
          <w:sz w:val="24"/>
        </w:rPr>
        <w:t>rdacted</w:t>
      </w:r>
      <w:r>
        <w:rPr>
          <w:b w:val="0"/>
          <w:sz w:val="24"/>
        </w:rPr>
        <w:t>@purdue.edu</w:t>
      </w:r>
      <w:r>
        <w:rPr>
          <w:sz w:val="24"/>
        </w:rPr>
        <w:t xml:space="preserve"> </w:t>
      </w:r>
    </w:p>
    <w:p w14:paraId="3F2DC1CA" w14:textId="77777777" w:rsidR="00F64437" w:rsidRDefault="00F64437">
      <w:pPr>
        <w:pStyle w:val="Title"/>
        <w:jc w:val="left"/>
      </w:pPr>
    </w:p>
    <w:p w14:paraId="597045BD" w14:textId="77777777" w:rsidR="00F64437" w:rsidRDefault="00DD3FEF">
      <w:pPr>
        <w:pStyle w:val="Title"/>
        <w:jc w:val="left"/>
      </w:pPr>
      <w:r>
        <w:rPr>
          <w:sz w:val="24"/>
        </w:rPr>
        <w:t>Assignment Evaluation:</w:t>
      </w:r>
    </w:p>
    <w:p w14:paraId="433037F4" w14:textId="77777777" w:rsidR="00F64437" w:rsidRDefault="00F64437">
      <w:pPr>
        <w:pStyle w:val="Title"/>
        <w:jc w:val="left"/>
      </w:pPr>
    </w:p>
    <w:tbl>
      <w:tblPr>
        <w:tblStyle w:val="a"/>
        <w:tblW w:w="9483" w:type="dxa"/>
        <w:tblInd w:w="93" w:type="dxa"/>
        <w:tblLayout w:type="fixed"/>
        <w:tblLook w:val="0400" w:firstRow="0" w:lastRow="0" w:firstColumn="0" w:lastColumn="0" w:noHBand="0" w:noVBand="1"/>
      </w:tblPr>
      <w:tblGrid>
        <w:gridCol w:w="2670"/>
        <w:gridCol w:w="1242"/>
        <w:gridCol w:w="942"/>
        <w:gridCol w:w="788"/>
        <w:gridCol w:w="3841"/>
      </w:tblGrid>
      <w:tr w:rsidR="00F64437" w14:paraId="4D017E51" w14:textId="77777777">
        <w:trPr>
          <w:trHeight w:val="260"/>
        </w:trPr>
        <w:tc>
          <w:tcPr>
            <w:tcW w:w="2670" w:type="dxa"/>
            <w:tcBorders>
              <w:top w:val="single" w:sz="4" w:space="0" w:color="000000"/>
              <w:left w:val="single" w:sz="4" w:space="0" w:color="000000"/>
              <w:bottom w:val="single" w:sz="4" w:space="0" w:color="000000"/>
              <w:right w:val="single" w:sz="4" w:space="0" w:color="000000"/>
            </w:tcBorders>
            <w:shd w:val="clear" w:color="auto" w:fill="A6A6A6"/>
            <w:vAlign w:val="bottom"/>
          </w:tcPr>
          <w:p w14:paraId="2BDF72BE" w14:textId="77777777" w:rsidR="00F64437" w:rsidRDefault="00DD3FEF">
            <w:pPr>
              <w:jc w:val="center"/>
            </w:pPr>
            <w:r>
              <w:rPr>
                <w:rFonts w:ascii="Calibri" w:eastAsia="Calibri" w:hAnsi="Calibri" w:cs="Calibri"/>
                <w:b/>
                <w:sz w:val="22"/>
              </w:rPr>
              <w:t>Item</w:t>
            </w:r>
          </w:p>
        </w:tc>
        <w:tc>
          <w:tcPr>
            <w:tcW w:w="1242" w:type="dxa"/>
            <w:tcBorders>
              <w:top w:val="single" w:sz="4" w:space="0" w:color="000000"/>
              <w:left w:val="nil"/>
              <w:bottom w:val="single" w:sz="4" w:space="0" w:color="000000"/>
              <w:right w:val="single" w:sz="4" w:space="0" w:color="000000"/>
            </w:tcBorders>
            <w:shd w:val="clear" w:color="auto" w:fill="A6A6A6"/>
            <w:vAlign w:val="bottom"/>
          </w:tcPr>
          <w:p w14:paraId="3641BA77" w14:textId="77777777" w:rsidR="00F64437" w:rsidRDefault="00DD3FEF">
            <w:pPr>
              <w:jc w:val="center"/>
            </w:pPr>
            <w:r>
              <w:rPr>
                <w:rFonts w:ascii="Calibri" w:eastAsia="Calibri" w:hAnsi="Calibri" w:cs="Calibri"/>
                <w:b/>
                <w:sz w:val="22"/>
              </w:rPr>
              <w:t>Score (0-5)</w:t>
            </w:r>
          </w:p>
        </w:tc>
        <w:tc>
          <w:tcPr>
            <w:tcW w:w="942" w:type="dxa"/>
            <w:tcBorders>
              <w:top w:val="single" w:sz="4" w:space="0" w:color="000000"/>
              <w:left w:val="nil"/>
              <w:bottom w:val="single" w:sz="4" w:space="0" w:color="000000"/>
              <w:right w:val="single" w:sz="4" w:space="0" w:color="000000"/>
            </w:tcBorders>
            <w:shd w:val="clear" w:color="auto" w:fill="A6A6A6"/>
            <w:vAlign w:val="bottom"/>
          </w:tcPr>
          <w:p w14:paraId="129B4019" w14:textId="77777777" w:rsidR="00F64437" w:rsidRDefault="00DD3FEF">
            <w:r>
              <w:rPr>
                <w:rFonts w:ascii="Calibri" w:eastAsia="Calibri" w:hAnsi="Calibri" w:cs="Calibri"/>
                <w:b/>
                <w:sz w:val="22"/>
              </w:rPr>
              <w:t>Weight</w:t>
            </w:r>
          </w:p>
        </w:tc>
        <w:tc>
          <w:tcPr>
            <w:tcW w:w="788" w:type="dxa"/>
            <w:tcBorders>
              <w:top w:val="single" w:sz="4" w:space="0" w:color="000000"/>
              <w:left w:val="nil"/>
              <w:bottom w:val="single" w:sz="4" w:space="0" w:color="000000"/>
              <w:right w:val="single" w:sz="4" w:space="0" w:color="000000"/>
            </w:tcBorders>
            <w:shd w:val="clear" w:color="auto" w:fill="A6A6A6"/>
            <w:vAlign w:val="bottom"/>
          </w:tcPr>
          <w:p w14:paraId="68F6C2E4" w14:textId="77777777" w:rsidR="00F64437" w:rsidRDefault="00DD3FEF">
            <w:pPr>
              <w:jc w:val="center"/>
            </w:pPr>
            <w:r>
              <w:rPr>
                <w:rFonts w:ascii="Calibri" w:eastAsia="Calibri" w:hAnsi="Calibri" w:cs="Calibri"/>
                <w:b/>
                <w:sz w:val="22"/>
              </w:rPr>
              <w:t>Points</w:t>
            </w:r>
          </w:p>
        </w:tc>
        <w:tc>
          <w:tcPr>
            <w:tcW w:w="3841" w:type="dxa"/>
            <w:tcBorders>
              <w:top w:val="single" w:sz="4" w:space="0" w:color="000000"/>
              <w:left w:val="nil"/>
              <w:bottom w:val="single" w:sz="4" w:space="0" w:color="000000"/>
              <w:right w:val="single" w:sz="4" w:space="0" w:color="000000"/>
            </w:tcBorders>
            <w:shd w:val="clear" w:color="auto" w:fill="A6A6A6"/>
            <w:vAlign w:val="bottom"/>
          </w:tcPr>
          <w:p w14:paraId="5D9F8D6D" w14:textId="77777777" w:rsidR="00F64437" w:rsidRDefault="00DD3FEF">
            <w:pPr>
              <w:jc w:val="center"/>
            </w:pPr>
            <w:r>
              <w:rPr>
                <w:rFonts w:ascii="Calibri" w:eastAsia="Calibri" w:hAnsi="Calibri" w:cs="Calibri"/>
                <w:b/>
                <w:sz w:val="22"/>
              </w:rPr>
              <w:t>Notes</w:t>
            </w:r>
          </w:p>
        </w:tc>
      </w:tr>
      <w:tr w:rsidR="00F64437" w14:paraId="3BAC6849" w14:textId="77777777">
        <w:trPr>
          <w:trHeight w:val="260"/>
        </w:trPr>
        <w:tc>
          <w:tcPr>
            <w:tcW w:w="2670"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4D57BC98" w14:textId="77777777" w:rsidR="00F64437" w:rsidRDefault="00DD3FEF">
            <w:r>
              <w:rPr>
                <w:rFonts w:ascii="Calibri" w:eastAsia="Calibri" w:hAnsi="Calibri" w:cs="Calibri"/>
                <w:b/>
                <w:sz w:val="22"/>
              </w:rPr>
              <w:t>Assignment-Specific Items</w:t>
            </w:r>
          </w:p>
        </w:tc>
        <w:tc>
          <w:tcPr>
            <w:tcW w:w="1242"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39EB04E3" w14:textId="77777777" w:rsidR="00F64437" w:rsidRDefault="00F64437">
            <w:pPr>
              <w:widowControl w:val="0"/>
              <w:spacing w:line="276" w:lineRule="auto"/>
            </w:pPr>
          </w:p>
        </w:tc>
        <w:tc>
          <w:tcPr>
            <w:tcW w:w="942"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08274100" w14:textId="77777777" w:rsidR="00F64437" w:rsidRDefault="00F64437">
            <w:pPr>
              <w:widowControl w:val="0"/>
              <w:spacing w:line="276" w:lineRule="auto"/>
            </w:pPr>
          </w:p>
        </w:tc>
        <w:tc>
          <w:tcPr>
            <w:tcW w:w="788"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64F549E1" w14:textId="77777777" w:rsidR="00F64437" w:rsidRDefault="00F64437">
            <w:pPr>
              <w:widowControl w:val="0"/>
              <w:spacing w:line="276" w:lineRule="auto"/>
            </w:pPr>
          </w:p>
        </w:tc>
        <w:tc>
          <w:tcPr>
            <w:tcW w:w="3841"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31203560" w14:textId="77777777" w:rsidR="00F64437" w:rsidRDefault="00F64437">
            <w:pPr>
              <w:widowControl w:val="0"/>
              <w:spacing w:line="276" w:lineRule="auto"/>
            </w:pPr>
          </w:p>
        </w:tc>
      </w:tr>
      <w:tr w:rsidR="00F64437" w14:paraId="48B452F1" w14:textId="77777777">
        <w:trPr>
          <w:trHeight w:val="260"/>
        </w:trPr>
        <w:tc>
          <w:tcPr>
            <w:tcW w:w="2670" w:type="dxa"/>
            <w:tcBorders>
              <w:top w:val="nil"/>
              <w:left w:val="single" w:sz="4" w:space="0" w:color="000000"/>
              <w:bottom w:val="single" w:sz="4" w:space="0" w:color="000000"/>
              <w:right w:val="single" w:sz="4" w:space="0" w:color="000000"/>
            </w:tcBorders>
            <w:shd w:val="clear" w:color="auto" w:fill="FFFFFF"/>
            <w:vAlign w:val="bottom"/>
          </w:tcPr>
          <w:p w14:paraId="60298C23" w14:textId="77777777" w:rsidR="00F64437" w:rsidRDefault="00DD3FEF">
            <w:r>
              <w:rPr>
                <w:rFonts w:ascii="Calibri" w:eastAsia="Calibri" w:hAnsi="Calibri" w:cs="Calibri"/>
                <w:b/>
                <w:sz w:val="22"/>
              </w:rPr>
              <w:t>Regulatory Analysis</w:t>
            </w:r>
          </w:p>
        </w:tc>
        <w:tc>
          <w:tcPr>
            <w:tcW w:w="1242" w:type="dxa"/>
            <w:tcBorders>
              <w:top w:val="nil"/>
              <w:left w:val="nil"/>
              <w:bottom w:val="single" w:sz="4" w:space="0" w:color="000000"/>
              <w:right w:val="single" w:sz="4" w:space="0" w:color="000000"/>
            </w:tcBorders>
            <w:shd w:val="clear" w:color="auto" w:fill="FFFFFF"/>
            <w:vAlign w:val="bottom"/>
          </w:tcPr>
          <w:p w14:paraId="34F20FD4" w14:textId="5C9FA989" w:rsidR="00F64437" w:rsidRDefault="00F64437">
            <w:pPr>
              <w:jc w:val="center"/>
            </w:pPr>
          </w:p>
        </w:tc>
        <w:tc>
          <w:tcPr>
            <w:tcW w:w="942" w:type="dxa"/>
            <w:tcBorders>
              <w:top w:val="nil"/>
              <w:left w:val="nil"/>
              <w:bottom w:val="single" w:sz="4" w:space="0" w:color="000000"/>
              <w:right w:val="single" w:sz="4" w:space="0" w:color="000000"/>
            </w:tcBorders>
            <w:shd w:val="clear" w:color="auto" w:fill="FFFFFF"/>
            <w:vAlign w:val="bottom"/>
          </w:tcPr>
          <w:p w14:paraId="45560E2F" w14:textId="4DCD6B71" w:rsidR="00F64437" w:rsidRDefault="00F64437">
            <w:pPr>
              <w:jc w:val="center"/>
            </w:pPr>
          </w:p>
        </w:tc>
        <w:tc>
          <w:tcPr>
            <w:tcW w:w="788" w:type="dxa"/>
            <w:tcBorders>
              <w:top w:val="nil"/>
              <w:left w:val="nil"/>
              <w:bottom w:val="single" w:sz="4" w:space="0" w:color="000000"/>
              <w:right w:val="single" w:sz="4" w:space="0" w:color="000000"/>
            </w:tcBorders>
            <w:shd w:val="clear" w:color="auto" w:fill="FFFFFF"/>
            <w:vAlign w:val="bottom"/>
          </w:tcPr>
          <w:p w14:paraId="116AF692" w14:textId="77777777" w:rsidR="00F64437" w:rsidRDefault="00F64437">
            <w:pPr>
              <w:jc w:val="center"/>
            </w:pPr>
          </w:p>
        </w:tc>
        <w:tc>
          <w:tcPr>
            <w:tcW w:w="3841" w:type="dxa"/>
            <w:tcBorders>
              <w:top w:val="nil"/>
              <w:left w:val="nil"/>
              <w:bottom w:val="single" w:sz="4" w:space="0" w:color="000000"/>
              <w:right w:val="single" w:sz="4" w:space="0" w:color="000000"/>
            </w:tcBorders>
            <w:shd w:val="clear" w:color="auto" w:fill="FFFFFF"/>
            <w:vAlign w:val="bottom"/>
          </w:tcPr>
          <w:p w14:paraId="4F81FC2E" w14:textId="77777777" w:rsidR="00F64437" w:rsidRDefault="00DD3FEF">
            <w:r>
              <w:rPr>
                <w:rFonts w:ascii="Calibri" w:eastAsia="Calibri" w:hAnsi="Calibri" w:cs="Calibri"/>
                <w:sz w:val="22"/>
              </w:rPr>
              <w:t> </w:t>
            </w:r>
          </w:p>
        </w:tc>
      </w:tr>
      <w:tr w:rsidR="00F64437" w14:paraId="3255F151" w14:textId="77777777">
        <w:trPr>
          <w:trHeight w:val="260"/>
        </w:trPr>
        <w:tc>
          <w:tcPr>
            <w:tcW w:w="2670" w:type="dxa"/>
            <w:tcBorders>
              <w:top w:val="nil"/>
              <w:left w:val="single" w:sz="4" w:space="0" w:color="000000"/>
              <w:bottom w:val="single" w:sz="4" w:space="0" w:color="000000"/>
              <w:right w:val="single" w:sz="4" w:space="0" w:color="000000"/>
            </w:tcBorders>
            <w:shd w:val="clear" w:color="auto" w:fill="FFFFFF"/>
            <w:vAlign w:val="bottom"/>
          </w:tcPr>
          <w:p w14:paraId="48DEC669" w14:textId="77777777" w:rsidR="00F64437" w:rsidRDefault="00DD3FEF">
            <w:r>
              <w:rPr>
                <w:rFonts w:ascii="Calibri" w:eastAsia="Calibri" w:hAnsi="Calibri" w:cs="Calibri"/>
                <w:b/>
                <w:sz w:val="22"/>
              </w:rPr>
              <w:t>Analysis of Patent 1</w:t>
            </w:r>
          </w:p>
        </w:tc>
        <w:tc>
          <w:tcPr>
            <w:tcW w:w="1242" w:type="dxa"/>
            <w:tcBorders>
              <w:top w:val="nil"/>
              <w:left w:val="nil"/>
              <w:bottom w:val="single" w:sz="4" w:space="0" w:color="000000"/>
              <w:right w:val="single" w:sz="4" w:space="0" w:color="000000"/>
            </w:tcBorders>
            <w:shd w:val="clear" w:color="auto" w:fill="FFFFFF"/>
            <w:vAlign w:val="bottom"/>
          </w:tcPr>
          <w:p w14:paraId="256E8256" w14:textId="1F4BCC7D" w:rsidR="00F64437" w:rsidRDefault="00F64437">
            <w:pPr>
              <w:jc w:val="center"/>
            </w:pPr>
          </w:p>
        </w:tc>
        <w:tc>
          <w:tcPr>
            <w:tcW w:w="942" w:type="dxa"/>
            <w:tcBorders>
              <w:top w:val="nil"/>
              <w:left w:val="nil"/>
              <w:bottom w:val="single" w:sz="4" w:space="0" w:color="000000"/>
              <w:right w:val="single" w:sz="4" w:space="0" w:color="000000"/>
            </w:tcBorders>
            <w:shd w:val="clear" w:color="auto" w:fill="FFFFFF"/>
            <w:vAlign w:val="bottom"/>
          </w:tcPr>
          <w:p w14:paraId="1B8AEF11" w14:textId="7437E4A7" w:rsidR="00F64437" w:rsidRDefault="00F64437">
            <w:pPr>
              <w:jc w:val="center"/>
            </w:pPr>
          </w:p>
        </w:tc>
        <w:tc>
          <w:tcPr>
            <w:tcW w:w="788" w:type="dxa"/>
            <w:tcBorders>
              <w:top w:val="nil"/>
              <w:left w:val="nil"/>
              <w:bottom w:val="single" w:sz="4" w:space="0" w:color="000000"/>
              <w:right w:val="single" w:sz="4" w:space="0" w:color="000000"/>
            </w:tcBorders>
            <w:shd w:val="clear" w:color="auto" w:fill="FFFFFF"/>
            <w:vAlign w:val="bottom"/>
          </w:tcPr>
          <w:p w14:paraId="3C022024" w14:textId="77777777" w:rsidR="00F64437" w:rsidRDefault="00F64437">
            <w:pPr>
              <w:jc w:val="center"/>
            </w:pPr>
          </w:p>
        </w:tc>
        <w:tc>
          <w:tcPr>
            <w:tcW w:w="3841" w:type="dxa"/>
            <w:tcBorders>
              <w:top w:val="nil"/>
              <w:left w:val="nil"/>
              <w:bottom w:val="single" w:sz="4" w:space="0" w:color="000000"/>
              <w:right w:val="single" w:sz="4" w:space="0" w:color="000000"/>
            </w:tcBorders>
            <w:shd w:val="clear" w:color="auto" w:fill="FFFFFF"/>
            <w:vAlign w:val="bottom"/>
          </w:tcPr>
          <w:p w14:paraId="3897CB10" w14:textId="77777777" w:rsidR="00F64437" w:rsidRDefault="00DD3FEF">
            <w:r>
              <w:rPr>
                <w:rFonts w:ascii="Calibri" w:eastAsia="Calibri" w:hAnsi="Calibri" w:cs="Calibri"/>
                <w:sz w:val="22"/>
              </w:rPr>
              <w:t> </w:t>
            </w:r>
          </w:p>
        </w:tc>
      </w:tr>
      <w:tr w:rsidR="00F64437" w14:paraId="1E05AEB7" w14:textId="77777777">
        <w:trPr>
          <w:trHeight w:val="260"/>
        </w:trPr>
        <w:tc>
          <w:tcPr>
            <w:tcW w:w="2670" w:type="dxa"/>
            <w:tcBorders>
              <w:top w:val="nil"/>
              <w:left w:val="single" w:sz="4" w:space="0" w:color="000000"/>
              <w:bottom w:val="single" w:sz="4" w:space="0" w:color="000000"/>
              <w:right w:val="single" w:sz="4" w:space="0" w:color="000000"/>
            </w:tcBorders>
            <w:shd w:val="clear" w:color="auto" w:fill="FFFFFF"/>
            <w:vAlign w:val="bottom"/>
          </w:tcPr>
          <w:p w14:paraId="2617755D" w14:textId="77777777" w:rsidR="00F64437" w:rsidRDefault="00DD3FEF">
            <w:r>
              <w:rPr>
                <w:rFonts w:ascii="Calibri" w:eastAsia="Calibri" w:hAnsi="Calibri" w:cs="Calibri"/>
                <w:b/>
                <w:sz w:val="22"/>
              </w:rPr>
              <w:t>Analysis of Patent 2</w:t>
            </w:r>
          </w:p>
        </w:tc>
        <w:tc>
          <w:tcPr>
            <w:tcW w:w="1242" w:type="dxa"/>
            <w:tcBorders>
              <w:top w:val="nil"/>
              <w:left w:val="nil"/>
              <w:bottom w:val="single" w:sz="4" w:space="0" w:color="000000"/>
              <w:right w:val="single" w:sz="4" w:space="0" w:color="000000"/>
            </w:tcBorders>
            <w:shd w:val="clear" w:color="auto" w:fill="FFFFFF"/>
            <w:vAlign w:val="bottom"/>
          </w:tcPr>
          <w:p w14:paraId="6CFE2874" w14:textId="5B8E7DD3" w:rsidR="00F64437" w:rsidRDefault="00F64437">
            <w:pPr>
              <w:jc w:val="center"/>
            </w:pPr>
          </w:p>
        </w:tc>
        <w:tc>
          <w:tcPr>
            <w:tcW w:w="942" w:type="dxa"/>
            <w:tcBorders>
              <w:top w:val="nil"/>
              <w:left w:val="nil"/>
              <w:bottom w:val="single" w:sz="4" w:space="0" w:color="000000"/>
              <w:right w:val="single" w:sz="4" w:space="0" w:color="000000"/>
            </w:tcBorders>
            <w:shd w:val="clear" w:color="auto" w:fill="FFFFFF"/>
            <w:vAlign w:val="bottom"/>
          </w:tcPr>
          <w:p w14:paraId="6D62E8C4" w14:textId="39F08797" w:rsidR="00F64437" w:rsidRDefault="00F64437">
            <w:pPr>
              <w:jc w:val="center"/>
            </w:pPr>
          </w:p>
        </w:tc>
        <w:tc>
          <w:tcPr>
            <w:tcW w:w="788" w:type="dxa"/>
            <w:tcBorders>
              <w:top w:val="nil"/>
              <w:left w:val="nil"/>
              <w:bottom w:val="single" w:sz="4" w:space="0" w:color="000000"/>
              <w:right w:val="single" w:sz="4" w:space="0" w:color="000000"/>
            </w:tcBorders>
            <w:shd w:val="clear" w:color="auto" w:fill="FFFFFF"/>
            <w:vAlign w:val="bottom"/>
          </w:tcPr>
          <w:p w14:paraId="0688A683" w14:textId="77777777" w:rsidR="00F64437" w:rsidRDefault="00F64437">
            <w:pPr>
              <w:jc w:val="center"/>
            </w:pPr>
          </w:p>
        </w:tc>
        <w:tc>
          <w:tcPr>
            <w:tcW w:w="3841" w:type="dxa"/>
            <w:tcBorders>
              <w:top w:val="nil"/>
              <w:left w:val="nil"/>
              <w:bottom w:val="single" w:sz="4" w:space="0" w:color="000000"/>
              <w:right w:val="single" w:sz="4" w:space="0" w:color="000000"/>
            </w:tcBorders>
            <w:shd w:val="clear" w:color="auto" w:fill="FFFFFF"/>
            <w:vAlign w:val="bottom"/>
          </w:tcPr>
          <w:p w14:paraId="43689414" w14:textId="77777777" w:rsidR="00F64437" w:rsidRDefault="00DD3FEF">
            <w:r>
              <w:rPr>
                <w:rFonts w:ascii="Calibri" w:eastAsia="Calibri" w:hAnsi="Calibri" w:cs="Calibri"/>
                <w:sz w:val="22"/>
              </w:rPr>
              <w:t> </w:t>
            </w:r>
          </w:p>
        </w:tc>
      </w:tr>
      <w:tr w:rsidR="00F64437" w14:paraId="4918B42E" w14:textId="77777777">
        <w:trPr>
          <w:trHeight w:val="260"/>
        </w:trPr>
        <w:tc>
          <w:tcPr>
            <w:tcW w:w="2670" w:type="dxa"/>
            <w:tcBorders>
              <w:top w:val="nil"/>
              <w:left w:val="single" w:sz="4" w:space="0" w:color="000000"/>
              <w:bottom w:val="single" w:sz="4" w:space="0" w:color="000000"/>
              <w:right w:val="single" w:sz="4" w:space="0" w:color="000000"/>
            </w:tcBorders>
            <w:shd w:val="clear" w:color="auto" w:fill="FFFFFF"/>
            <w:vAlign w:val="bottom"/>
          </w:tcPr>
          <w:p w14:paraId="5B0C6816" w14:textId="77777777" w:rsidR="00F64437" w:rsidRDefault="00DD3FEF">
            <w:r>
              <w:rPr>
                <w:rFonts w:ascii="Calibri" w:eastAsia="Calibri" w:hAnsi="Calibri" w:cs="Calibri"/>
                <w:b/>
                <w:sz w:val="22"/>
              </w:rPr>
              <w:t>Analysis of Patent 3</w:t>
            </w:r>
          </w:p>
        </w:tc>
        <w:tc>
          <w:tcPr>
            <w:tcW w:w="1242" w:type="dxa"/>
            <w:tcBorders>
              <w:top w:val="nil"/>
              <w:left w:val="nil"/>
              <w:bottom w:val="single" w:sz="4" w:space="0" w:color="000000"/>
              <w:right w:val="single" w:sz="4" w:space="0" w:color="000000"/>
            </w:tcBorders>
            <w:shd w:val="clear" w:color="auto" w:fill="FFFFFF"/>
            <w:vAlign w:val="bottom"/>
          </w:tcPr>
          <w:p w14:paraId="06020A62" w14:textId="705C811C" w:rsidR="00F64437" w:rsidRDefault="00F64437">
            <w:pPr>
              <w:jc w:val="center"/>
            </w:pPr>
          </w:p>
        </w:tc>
        <w:tc>
          <w:tcPr>
            <w:tcW w:w="942" w:type="dxa"/>
            <w:tcBorders>
              <w:top w:val="nil"/>
              <w:left w:val="nil"/>
              <w:bottom w:val="single" w:sz="4" w:space="0" w:color="000000"/>
              <w:right w:val="single" w:sz="4" w:space="0" w:color="000000"/>
            </w:tcBorders>
            <w:shd w:val="clear" w:color="auto" w:fill="FFFFFF"/>
            <w:vAlign w:val="bottom"/>
          </w:tcPr>
          <w:p w14:paraId="175504C8" w14:textId="047DFCEB" w:rsidR="00F64437" w:rsidRDefault="00F64437">
            <w:pPr>
              <w:jc w:val="center"/>
            </w:pPr>
          </w:p>
        </w:tc>
        <w:tc>
          <w:tcPr>
            <w:tcW w:w="788" w:type="dxa"/>
            <w:tcBorders>
              <w:top w:val="nil"/>
              <w:left w:val="nil"/>
              <w:bottom w:val="single" w:sz="4" w:space="0" w:color="000000"/>
              <w:right w:val="single" w:sz="4" w:space="0" w:color="000000"/>
            </w:tcBorders>
            <w:shd w:val="clear" w:color="auto" w:fill="FFFFFF"/>
            <w:vAlign w:val="bottom"/>
          </w:tcPr>
          <w:p w14:paraId="33A52275" w14:textId="77777777" w:rsidR="00F64437" w:rsidRDefault="00F64437">
            <w:pPr>
              <w:jc w:val="center"/>
            </w:pPr>
          </w:p>
        </w:tc>
        <w:tc>
          <w:tcPr>
            <w:tcW w:w="3841" w:type="dxa"/>
            <w:tcBorders>
              <w:top w:val="nil"/>
              <w:left w:val="nil"/>
              <w:bottom w:val="single" w:sz="4" w:space="0" w:color="000000"/>
              <w:right w:val="single" w:sz="4" w:space="0" w:color="000000"/>
            </w:tcBorders>
            <w:shd w:val="clear" w:color="auto" w:fill="FFFFFF"/>
            <w:vAlign w:val="bottom"/>
          </w:tcPr>
          <w:p w14:paraId="6127A603" w14:textId="77777777" w:rsidR="00F64437" w:rsidRDefault="00DD3FEF">
            <w:r>
              <w:rPr>
                <w:rFonts w:ascii="Calibri" w:eastAsia="Calibri" w:hAnsi="Calibri" w:cs="Calibri"/>
                <w:sz w:val="22"/>
              </w:rPr>
              <w:t> </w:t>
            </w:r>
          </w:p>
        </w:tc>
      </w:tr>
      <w:tr w:rsidR="00F64437" w14:paraId="79127D89" w14:textId="77777777">
        <w:trPr>
          <w:trHeight w:val="260"/>
        </w:trPr>
        <w:tc>
          <w:tcPr>
            <w:tcW w:w="2670"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53C5228D" w14:textId="77777777" w:rsidR="00F64437" w:rsidRDefault="00DD3FEF">
            <w:r>
              <w:rPr>
                <w:rFonts w:ascii="Calibri" w:eastAsia="Calibri" w:hAnsi="Calibri" w:cs="Calibri"/>
                <w:b/>
                <w:sz w:val="22"/>
              </w:rPr>
              <w:t>Writing-Specific Items</w:t>
            </w:r>
          </w:p>
        </w:tc>
        <w:tc>
          <w:tcPr>
            <w:tcW w:w="1242"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4CCB4CE5" w14:textId="77777777" w:rsidR="00F64437" w:rsidRDefault="00F64437">
            <w:pPr>
              <w:widowControl w:val="0"/>
              <w:spacing w:line="276" w:lineRule="auto"/>
            </w:pPr>
          </w:p>
        </w:tc>
        <w:tc>
          <w:tcPr>
            <w:tcW w:w="942"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2E51C695" w14:textId="77777777" w:rsidR="00F64437" w:rsidRDefault="00F64437">
            <w:pPr>
              <w:widowControl w:val="0"/>
              <w:spacing w:line="276" w:lineRule="auto"/>
            </w:pPr>
          </w:p>
        </w:tc>
        <w:tc>
          <w:tcPr>
            <w:tcW w:w="788"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123C105B" w14:textId="77777777" w:rsidR="00F64437" w:rsidRDefault="00F64437">
            <w:pPr>
              <w:widowControl w:val="0"/>
              <w:spacing w:line="276" w:lineRule="auto"/>
            </w:pPr>
          </w:p>
        </w:tc>
        <w:tc>
          <w:tcPr>
            <w:tcW w:w="3841"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254C3ED0" w14:textId="77777777" w:rsidR="00F64437" w:rsidRDefault="00F64437">
            <w:pPr>
              <w:widowControl w:val="0"/>
              <w:spacing w:line="276" w:lineRule="auto"/>
            </w:pPr>
          </w:p>
        </w:tc>
      </w:tr>
      <w:tr w:rsidR="00F64437" w14:paraId="250B501A" w14:textId="77777777">
        <w:trPr>
          <w:trHeight w:val="260"/>
        </w:trPr>
        <w:tc>
          <w:tcPr>
            <w:tcW w:w="2670" w:type="dxa"/>
            <w:tcBorders>
              <w:top w:val="nil"/>
              <w:left w:val="single" w:sz="4" w:space="0" w:color="000000"/>
              <w:bottom w:val="single" w:sz="4" w:space="0" w:color="000000"/>
              <w:right w:val="single" w:sz="4" w:space="0" w:color="000000"/>
            </w:tcBorders>
            <w:shd w:val="clear" w:color="auto" w:fill="FFFFFF"/>
            <w:vAlign w:val="bottom"/>
          </w:tcPr>
          <w:p w14:paraId="5566F804" w14:textId="77777777" w:rsidR="00F64437" w:rsidRDefault="00DD3FEF">
            <w:r>
              <w:rPr>
                <w:rFonts w:ascii="Calibri" w:eastAsia="Calibri" w:hAnsi="Calibri" w:cs="Calibri"/>
                <w:b/>
                <w:sz w:val="22"/>
              </w:rPr>
              <w:t>Spelling and Grammar</w:t>
            </w:r>
          </w:p>
        </w:tc>
        <w:tc>
          <w:tcPr>
            <w:tcW w:w="1242" w:type="dxa"/>
            <w:tcBorders>
              <w:top w:val="nil"/>
              <w:left w:val="nil"/>
              <w:bottom w:val="single" w:sz="4" w:space="0" w:color="000000"/>
              <w:right w:val="single" w:sz="4" w:space="0" w:color="000000"/>
            </w:tcBorders>
            <w:shd w:val="clear" w:color="auto" w:fill="FFFFFF"/>
            <w:vAlign w:val="bottom"/>
          </w:tcPr>
          <w:p w14:paraId="6A45860B" w14:textId="3EC1BD59" w:rsidR="00F64437" w:rsidRDefault="00F64437">
            <w:pPr>
              <w:jc w:val="center"/>
            </w:pPr>
          </w:p>
        </w:tc>
        <w:tc>
          <w:tcPr>
            <w:tcW w:w="942" w:type="dxa"/>
            <w:tcBorders>
              <w:top w:val="nil"/>
              <w:left w:val="nil"/>
              <w:bottom w:val="single" w:sz="4" w:space="0" w:color="000000"/>
              <w:right w:val="single" w:sz="4" w:space="0" w:color="000000"/>
            </w:tcBorders>
            <w:shd w:val="clear" w:color="auto" w:fill="FFFFFF"/>
            <w:vAlign w:val="bottom"/>
          </w:tcPr>
          <w:p w14:paraId="083456F9" w14:textId="27D202CA" w:rsidR="00F64437" w:rsidRDefault="00F64437">
            <w:pPr>
              <w:jc w:val="center"/>
            </w:pPr>
          </w:p>
        </w:tc>
        <w:tc>
          <w:tcPr>
            <w:tcW w:w="788" w:type="dxa"/>
            <w:tcBorders>
              <w:top w:val="nil"/>
              <w:left w:val="nil"/>
              <w:bottom w:val="single" w:sz="4" w:space="0" w:color="000000"/>
              <w:right w:val="single" w:sz="4" w:space="0" w:color="000000"/>
            </w:tcBorders>
            <w:shd w:val="clear" w:color="auto" w:fill="FFFFFF"/>
            <w:vAlign w:val="bottom"/>
          </w:tcPr>
          <w:p w14:paraId="5AF9556A" w14:textId="77777777" w:rsidR="00F64437" w:rsidRDefault="00F64437">
            <w:pPr>
              <w:jc w:val="center"/>
            </w:pPr>
          </w:p>
        </w:tc>
        <w:tc>
          <w:tcPr>
            <w:tcW w:w="3841" w:type="dxa"/>
            <w:tcBorders>
              <w:top w:val="nil"/>
              <w:left w:val="nil"/>
              <w:bottom w:val="single" w:sz="4" w:space="0" w:color="000000"/>
              <w:right w:val="single" w:sz="4" w:space="0" w:color="000000"/>
            </w:tcBorders>
            <w:shd w:val="clear" w:color="auto" w:fill="FFFFFF"/>
            <w:vAlign w:val="bottom"/>
          </w:tcPr>
          <w:p w14:paraId="2A4E9DDF" w14:textId="77777777" w:rsidR="00F64437" w:rsidRDefault="00DD3FEF">
            <w:r>
              <w:rPr>
                <w:rFonts w:ascii="Calibri" w:eastAsia="Calibri" w:hAnsi="Calibri" w:cs="Calibri"/>
                <w:sz w:val="22"/>
              </w:rPr>
              <w:t> </w:t>
            </w:r>
          </w:p>
        </w:tc>
      </w:tr>
      <w:tr w:rsidR="00F64437" w14:paraId="0FDF472C" w14:textId="77777777">
        <w:trPr>
          <w:trHeight w:val="260"/>
        </w:trPr>
        <w:tc>
          <w:tcPr>
            <w:tcW w:w="2670" w:type="dxa"/>
            <w:tcBorders>
              <w:top w:val="nil"/>
              <w:left w:val="single" w:sz="4" w:space="0" w:color="000000"/>
              <w:bottom w:val="single" w:sz="4" w:space="0" w:color="000000"/>
              <w:right w:val="single" w:sz="4" w:space="0" w:color="000000"/>
            </w:tcBorders>
            <w:shd w:val="clear" w:color="auto" w:fill="FFFFFF"/>
            <w:vAlign w:val="bottom"/>
          </w:tcPr>
          <w:p w14:paraId="3E0CB1FD" w14:textId="77777777" w:rsidR="00F64437" w:rsidRDefault="00DD3FEF">
            <w:r>
              <w:rPr>
                <w:rFonts w:ascii="Calibri" w:eastAsia="Calibri" w:hAnsi="Calibri" w:cs="Calibri"/>
                <w:b/>
                <w:sz w:val="22"/>
              </w:rPr>
              <w:t>Formatting and Citations</w:t>
            </w:r>
          </w:p>
        </w:tc>
        <w:tc>
          <w:tcPr>
            <w:tcW w:w="1242" w:type="dxa"/>
            <w:tcBorders>
              <w:top w:val="nil"/>
              <w:left w:val="nil"/>
              <w:bottom w:val="single" w:sz="4" w:space="0" w:color="000000"/>
              <w:right w:val="single" w:sz="4" w:space="0" w:color="000000"/>
            </w:tcBorders>
            <w:shd w:val="clear" w:color="auto" w:fill="FFFFFF"/>
            <w:vAlign w:val="bottom"/>
          </w:tcPr>
          <w:p w14:paraId="081507C3" w14:textId="299C504E" w:rsidR="00F64437" w:rsidRDefault="00F64437">
            <w:pPr>
              <w:jc w:val="center"/>
            </w:pPr>
          </w:p>
        </w:tc>
        <w:tc>
          <w:tcPr>
            <w:tcW w:w="942" w:type="dxa"/>
            <w:tcBorders>
              <w:top w:val="nil"/>
              <w:left w:val="nil"/>
              <w:bottom w:val="single" w:sz="4" w:space="0" w:color="000000"/>
              <w:right w:val="single" w:sz="4" w:space="0" w:color="000000"/>
            </w:tcBorders>
            <w:shd w:val="clear" w:color="auto" w:fill="FFFFFF"/>
            <w:vAlign w:val="bottom"/>
          </w:tcPr>
          <w:p w14:paraId="29D776F1" w14:textId="2989E17D" w:rsidR="00F64437" w:rsidRDefault="00F64437">
            <w:pPr>
              <w:jc w:val="center"/>
            </w:pPr>
          </w:p>
        </w:tc>
        <w:tc>
          <w:tcPr>
            <w:tcW w:w="788" w:type="dxa"/>
            <w:tcBorders>
              <w:top w:val="nil"/>
              <w:left w:val="nil"/>
              <w:bottom w:val="single" w:sz="4" w:space="0" w:color="000000"/>
              <w:right w:val="single" w:sz="4" w:space="0" w:color="000000"/>
            </w:tcBorders>
            <w:shd w:val="clear" w:color="auto" w:fill="FFFFFF"/>
            <w:vAlign w:val="bottom"/>
          </w:tcPr>
          <w:p w14:paraId="49FAD0BE" w14:textId="77777777" w:rsidR="00F64437" w:rsidRDefault="00F64437">
            <w:pPr>
              <w:jc w:val="center"/>
            </w:pPr>
          </w:p>
        </w:tc>
        <w:tc>
          <w:tcPr>
            <w:tcW w:w="3841" w:type="dxa"/>
            <w:tcBorders>
              <w:top w:val="nil"/>
              <w:left w:val="nil"/>
              <w:bottom w:val="single" w:sz="4" w:space="0" w:color="000000"/>
              <w:right w:val="single" w:sz="4" w:space="0" w:color="000000"/>
            </w:tcBorders>
            <w:shd w:val="clear" w:color="auto" w:fill="FFFFFF"/>
            <w:vAlign w:val="bottom"/>
          </w:tcPr>
          <w:p w14:paraId="3626F705" w14:textId="77777777" w:rsidR="00F64437" w:rsidRDefault="00DD3FEF">
            <w:r>
              <w:rPr>
                <w:rFonts w:ascii="Calibri" w:eastAsia="Calibri" w:hAnsi="Calibri" w:cs="Calibri"/>
                <w:sz w:val="22"/>
              </w:rPr>
              <w:t> </w:t>
            </w:r>
          </w:p>
        </w:tc>
      </w:tr>
      <w:tr w:rsidR="00F64437" w14:paraId="7E1E90CB" w14:textId="77777777">
        <w:trPr>
          <w:trHeight w:val="260"/>
        </w:trPr>
        <w:tc>
          <w:tcPr>
            <w:tcW w:w="2670" w:type="dxa"/>
            <w:tcBorders>
              <w:top w:val="nil"/>
              <w:left w:val="single" w:sz="4" w:space="0" w:color="000000"/>
              <w:bottom w:val="single" w:sz="4" w:space="0" w:color="000000"/>
              <w:right w:val="single" w:sz="4" w:space="0" w:color="000000"/>
            </w:tcBorders>
            <w:shd w:val="clear" w:color="auto" w:fill="FFFFFF"/>
            <w:vAlign w:val="bottom"/>
          </w:tcPr>
          <w:p w14:paraId="03BA19FC" w14:textId="77777777" w:rsidR="00F64437" w:rsidRDefault="00DD3FEF">
            <w:r>
              <w:rPr>
                <w:rFonts w:ascii="Calibri" w:eastAsia="Calibri" w:hAnsi="Calibri" w:cs="Calibri"/>
                <w:b/>
                <w:sz w:val="22"/>
              </w:rPr>
              <w:t>Figures and Graphs</w:t>
            </w:r>
          </w:p>
        </w:tc>
        <w:tc>
          <w:tcPr>
            <w:tcW w:w="1242" w:type="dxa"/>
            <w:tcBorders>
              <w:top w:val="nil"/>
              <w:left w:val="nil"/>
              <w:bottom w:val="single" w:sz="4" w:space="0" w:color="000000"/>
              <w:right w:val="single" w:sz="4" w:space="0" w:color="000000"/>
            </w:tcBorders>
            <w:shd w:val="clear" w:color="auto" w:fill="FFFFFF"/>
            <w:vAlign w:val="bottom"/>
          </w:tcPr>
          <w:p w14:paraId="15839877" w14:textId="54E39FF7" w:rsidR="00F64437" w:rsidRDefault="00F64437">
            <w:pPr>
              <w:jc w:val="center"/>
            </w:pPr>
          </w:p>
        </w:tc>
        <w:tc>
          <w:tcPr>
            <w:tcW w:w="942" w:type="dxa"/>
            <w:tcBorders>
              <w:top w:val="nil"/>
              <w:left w:val="nil"/>
              <w:bottom w:val="single" w:sz="4" w:space="0" w:color="000000"/>
              <w:right w:val="single" w:sz="4" w:space="0" w:color="000000"/>
            </w:tcBorders>
            <w:shd w:val="clear" w:color="auto" w:fill="FFFFFF"/>
            <w:vAlign w:val="bottom"/>
          </w:tcPr>
          <w:p w14:paraId="747CBE61" w14:textId="6CC17648" w:rsidR="00F64437" w:rsidRDefault="00F64437">
            <w:pPr>
              <w:jc w:val="center"/>
            </w:pPr>
          </w:p>
        </w:tc>
        <w:tc>
          <w:tcPr>
            <w:tcW w:w="788" w:type="dxa"/>
            <w:tcBorders>
              <w:top w:val="nil"/>
              <w:left w:val="nil"/>
              <w:bottom w:val="single" w:sz="4" w:space="0" w:color="000000"/>
              <w:right w:val="single" w:sz="4" w:space="0" w:color="000000"/>
            </w:tcBorders>
            <w:shd w:val="clear" w:color="auto" w:fill="FFFFFF"/>
            <w:vAlign w:val="bottom"/>
          </w:tcPr>
          <w:p w14:paraId="70A0956F" w14:textId="77777777" w:rsidR="00F64437" w:rsidRDefault="00F64437">
            <w:pPr>
              <w:jc w:val="center"/>
            </w:pPr>
          </w:p>
        </w:tc>
        <w:tc>
          <w:tcPr>
            <w:tcW w:w="3841" w:type="dxa"/>
            <w:tcBorders>
              <w:top w:val="nil"/>
              <w:left w:val="nil"/>
              <w:bottom w:val="single" w:sz="4" w:space="0" w:color="000000"/>
              <w:right w:val="single" w:sz="4" w:space="0" w:color="000000"/>
            </w:tcBorders>
            <w:shd w:val="clear" w:color="auto" w:fill="FFFFFF"/>
            <w:vAlign w:val="bottom"/>
          </w:tcPr>
          <w:p w14:paraId="5B91A973" w14:textId="77777777" w:rsidR="00F64437" w:rsidRDefault="00DD3FEF">
            <w:r>
              <w:rPr>
                <w:rFonts w:ascii="Calibri" w:eastAsia="Calibri" w:hAnsi="Calibri" w:cs="Calibri"/>
                <w:sz w:val="22"/>
              </w:rPr>
              <w:t> </w:t>
            </w:r>
          </w:p>
        </w:tc>
      </w:tr>
      <w:tr w:rsidR="00F64437" w14:paraId="2B55F83A" w14:textId="77777777">
        <w:trPr>
          <w:trHeight w:val="260"/>
        </w:trPr>
        <w:tc>
          <w:tcPr>
            <w:tcW w:w="2670" w:type="dxa"/>
            <w:tcBorders>
              <w:top w:val="nil"/>
              <w:left w:val="single" w:sz="4" w:space="0" w:color="000000"/>
              <w:bottom w:val="single" w:sz="4" w:space="0" w:color="000000"/>
              <w:right w:val="single" w:sz="4" w:space="0" w:color="000000"/>
            </w:tcBorders>
            <w:shd w:val="clear" w:color="auto" w:fill="FFFFFF"/>
            <w:vAlign w:val="bottom"/>
          </w:tcPr>
          <w:p w14:paraId="75A5AAC9" w14:textId="77777777" w:rsidR="00F64437" w:rsidRDefault="00DD3FEF">
            <w:r>
              <w:rPr>
                <w:rFonts w:ascii="Calibri" w:eastAsia="Calibri" w:hAnsi="Calibri" w:cs="Calibri"/>
                <w:b/>
                <w:sz w:val="22"/>
              </w:rPr>
              <w:t>Technical Writing Style</w:t>
            </w:r>
          </w:p>
        </w:tc>
        <w:tc>
          <w:tcPr>
            <w:tcW w:w="1242" w:type="dxa"/>
            <w:tcBorders>
              <w:top w:val="nil"/>
              <w:left w:val="nil"/>
              <w:bottom w:val="single" w:sz="4" w:space="0" w:color="000000"/>
              <w:right w:val="single" w:sz="4" w:space="0" w:color="000000"/>
            </w:tcBorders>
            <w:shd w:val="clear" w:color="auto" w:fill="FFFFFF"/>
            <w:vAlign w:val="bottom"/>
          </w:tcPr>
          <w:p w14:paraId="6F95E8B6" w14:textId="39B8353A" w:rsidR="00F64437" w:rsidRDefault="00F64437">
            <w:pPr>
              <w:jc w:val="center"/>
            </w:pPr>
          </w:p>
        </w:tc>
        <w:tc>
          <w:tcPr>
            <w:tcW w:w="942" w:type="dxa"/>
            <w:tcBorders>
              <w:top w:val="nil"/>
              <w:left w:val="nil"/>
              <w:bottom w:val="single" w:sz="4" w:space="0" w:color="000000"/>
              <w:right w:val="single" w:sz="4" w:space="0" w:color="000000"/>
            </w:tcBorders>
            <w:shd w:val="clear" w:color="auto" w:fill="FFFFFF"/>
            <w:vAlign w:val="bottom"/>
          </w:tcPr>
          <w:p w14:paraId="650D8C85" w14:textId="3B7CB1A7" w:rsidR="00F64437" w:rsidRDefault="00F64437">
            <w:pPr>
              <w:jc w:val="center"/>
            </w:pPr>
          </w:p>
        </w:tc>
        <w:tc>
          <w:tcPr>
            <w:tcW w:w="788" w:type="dxa"/>
            <w:tcBorders>
              <w:top w:val="nil"/>
              <w:left w:val="nil"/>
              <w:bottom w:val="single" w:sz="4" w:space="0" w:color="000000"/>
              <w:right w:val="single" w:sz="4" w:space="0" w:color="000000"/>
            </w:tcBorders>
            <w:shd w:val="clear" w:color="auto" w:fill="FFFFFF"/>
            <w:vAlign w:val="bottom"/>
          </w:tcPr>
          <w:p w14:paraId="53D4B4A4" w14:textId="77777777" w:rsidR="00F64437" w:rsidRDefault="00F64437">
            <w:pPr>
              <w:jc w:val="center"/>
            </w:pPr>
          </w:p>
        </w:tc>
        <w:tc>
          <w:tcPr>
            <w:tcW w:w="3841" w:type="dxa"/>
            <w:tcBorders>
              <w:top w:val="nil"/>
              <w:left w:val="nil"/>
              <w:bottom w:val="single" w:sz="4" w:space="0" w:color="000000"/>
              <w:right w:val="single" w:sz="4" w:space="0" w:color="000000"/>
            </w:tcBorders>
            <w:shd w:val="clear" w:color="auto" w:fill="FFFFFF"/>
            <w:vAlign w:val="bottom"/>
          </w:tcPr>
          <w:p w14:paraId="2222C7C1" w14:textId="77777777" w:rsidR="00F64437" w:rsidRDefault="00DD3FEF">
            <w:r>
              <w:rPr>
                <w:rFonts w:ascii="Calibri" w:eastAsia="Calibri" w:hAnsi="Calibri" w:cs="Calibri"/>
                <w:sz w:val="22"/>
              </w:rPr>
              <w:t> </w:t>
            </w:r>
          </w:p>
        </w:tc>
      </w:tr>
      <w:tr w:rsidR="00F64437" w14:paraId="6B053D1A" w14:textId="77777777">
        <w:trPr>
          <w:trHeight w:val="260"/>
        </w:trPr>
        <w:tc>
          <w:tcPr>
            <w:tcW w:w="2670" w:type="dxa"/>
            <w:tcBorders>
              <w:top w:val="nil"/>
              <w:left w:val="single" w:sz="4" w:space="0" w:color="000000"/>
              <w:bottom w:val="single" w:sz="4" w:space="0" w:color="000000"/>
              <w:right w:val="single" w:sz="4" w:space="0" w:color="000000"/>
            </w:tcBorders>
            <w:shd w:val="clear" w:color="auto" w:fill="FFC000"/>
            <w:vAlign w:val="bottom"/>
          </w:tcPr>
          <w:p w14:paraId="1C209CFE" w14:textId="77777777" w:rsidR="00F64437" w:rsidRDefault="00DD3FEF">
            <w:r>
              <w:rPr>
                <w:rFonts w:ascii="Calibri" w:eastAsia="Calibri" w:hAnsi="Calibri" w:cs="Calibri"/>
                <w:b/>
                <w:sz w:val="22"/>
              </w:rPr>
              <w:t>Total Score</w:t>
            </w:r>
          </w:p>
        </w:tc>
        <w:tc>
          <w:tcPr>
            <w:tcW w:w="1242" w:type="dxa"/>
            <w:tcBorders>
              <w:top w:val="single" w:sz="4" w:space="0" w:color="000000"/>
              <w:left w:val="nil"/>
              <w:bottom w:val="single" w:sz="4" w:space="0" w:color="000000"/>
              <w:right w:val="single" w:sz="4" w:space="0" w:color="000000"/>
            </w:tcBorders>
            <w:shd w:val="clear" w:color="auto" w:fill="FFFFFF"/>
            <w:vAlign w:val="bottom"/>
          </w:tcPr>
          <w:p w14:paraId="2A338089" w14:textId="7D5BDCAE" w:rsidR="00F64437" w:rsidRDefault="00F64437">
            <w:pPr>
              <w:jc w:val="right"/>
            </w:pPr>
          </w:p>
        </w:tc>
        <w:tc>
          <w:tcPr>
            <w:tcW w:w="942" w:type="dxa"/>
            <w:tcBorders>
              <w:top w:val="single" w:sz="4" w:space="0" w:color="000000"/>
              <w:left w:val="nil"/>
              <w:bottom w:val="single" w:sz="4" w:space="0" w:color="000000"/>
              <w:right w:val="single" w:sz="4" w:space="0" w:color="000000"/>
            </w:tcBorders>
            <w:shd w:val="clear" w:color="auto" w:fill="FFFFFF"/>
            <w:vAlign w:val="bottom"/>
          </w:tcPr>
          <w:p w14:paraId="14D6CD75" w14:textId="77777777" w:rsidR="00F64437" w:rsidRDefault="00F64437">
            <w:pPr>
              <w:widowControl w:val="0"/>
              <w:spacing w:line="276" w:lineRule="auto"/>
            </w:pPr>
          </w:p>
        </w:tc>
        <w:tc>
          <w:tcPr>
            <w:tcW w:w="788" w:type="dxa"/>
            <w:tcBorders>
              <w:top w:val="single" w:sz="4" w:space="0" w:color="000000"/>
              <w:left w:val="nil"/>
              <w:bottom w:val="single" w:sz="4" w:space="0" w:color="000000"/>
              <w:right w:val="single" w:sz="4" w:space="0" w:color="000000"/>
            </w:tcBorders>
            <w:shd w:val="clear" w:color="auto" w:fill="FFFFFF"/>
            <w:vAlign w:val="bottom"/>
          </w:tcPr>
          <w:p w14:paraId="0F94B223" w14:textId="6ADEB893" w:rsidR="00F64437" w:rsidRDefault="00F64437">
            <w:pPr>
              <w:widowControl w:val="0"/>
              <w:spacing w:line="276" w:lineRule="auto"/>
            </w:pPr>
          </w:p>
        </w:tc>
        <w:tc>
          <w:tcPr>
            <w:tcW w:w="3841" w:type="dxa"/>
            <w:tcBorders>
              <w:top w:val="nil"/>
              <w:left w:val="nil"/>
              <w:bottom w:val="single" w:sz="4" w:space="0" w:color="000000"/>
              <w:right w:val="single" w:sz="4" w:space="0" w:color="000000"/>
            </w:tcBorders>
            <w:shd w:val="clear" w:color="auto" w:fill="FFFFFF"/>
            <w:vAlign w:val="bottom"/>
          </w:tcPr>
          <w:p w14:paraId="568297C5" w14:textId="77777777" w:rsidR="00F64437" w:rsidRDefault="00DD3FEF">
            <w:r>
              <w:rPr>
                <w:rFonts w:ascii="Calibri" w:eastAsia="Calibri" w:hAnsi="Calibri" w:cs="Calibri"/>
                <w:sz w:val="22"/>
              </w:rPr>
              <w:t> </w:t>
            </w:r>
          </w:p>
        </w:tc>
      </w:tr>
    </w:tbl>
    <w:p w14:paraId="4305F4CC" w14:textId="77777777" w:rsidR="00F64437" w:rsidRDefault="00DD3FEF">
      <w:pPr>
        <w:pStyle w:val="Title"/>
        <w:jc w:val="left"/>
      </w:pPr>
      <w:r>
        <w:rPr>
          <w:sz w:val="24"/>
        </w:rPr>
        <w:t xml:space="preserve">5: Excellent </w:t>
      </w:r>
      <w:r>
        <w:rPr>
          <w:sz w:val="24"/>
        </w:rPr>
        <w:tab/>
        <w:t>4: Good     3: Acceptable    2: Poor     1: Very Poor    0: Not attempted</w:t>
      </w:r>
    </w:p>
    <w:p w14:paraId="568D14BE" w14:textId="77777777" w:rsidR="00F64437" w:rsidRDefault="00F64437">
      <w:pPr>
        <w:pStyle w:val="Title"/>
        <w:jc w:val="left"/>
      </w:pPr>
    </w:p>
    <w:p w14:paraId="7D61A6AB" w14:textId="77777777" w:rsidR="00F64437" w:rsidRDefault="00DD3FEF">
      <w:pPr>
        <w:pStyle w:val="Title"/>
        <w:jc w:val="left"/>
      </w:pPr>
      <w:bookmarkStart w:id="1" w:name="h.qfsff6tzw4xi" w:colFirst="0" w:colLast="0"/>
      <w:bookmarkEnd w:id="1"/>
      <w:r>
        <w:rPr>
          <w:sz w:val="24"/>
        </w:rPr>
        <w:t>Comments:</w:t>
      </w:r>
    </w:p>
    <w:p w14:paraId="17C17067" w14:textId="77777777" w:rsidR="00F64437" w:rsidRDefault="00F64437">
      <w:bookmarkStart w:id="2" w:name="h.lqauzi59qee7" w:colFirst="0" w:colLast="0"/>
      <w:bookmarkEnd w:id="2"/>
    </w:p>
    <w:p w14:paraId="482DF406" w14:textId="77777777" w:rsidR="001B1EC4" w:rsidRDefault="001B1EC4">
      <w:bookmarkStart w:id="3" w:name="_GoBack"/>
      <w:bookmarkEnd w:id="3"/>
    </w:p>
    <w:p w14:paraId="7301D091" w14:textId="77777777" w:rsidR="00F64437" w:rsidRDefault="00F64437"/>
    <w:p w14:paraId="27AB50E0" w14:textId="77777777" w:rsidR="00F64437" w:rsidRDefault="00F64437">
      <w:pPr>
        <w:pStyle w:val="Title"/>
        <w:jc w:val="left"/>
      </w:pPr>
    </w:p>
    <w:p w14:paraId="724A6123" w14:textId="77777777" w:rsidR="00F64437" w:rsidRDefault="00F64437"/>
    <w:p w14:paraId="2A7D6BA9" w14:textId="77777777" w:rsidR="00F64437" w:rsidRDefault="00F64437">
      <w:pPr>
        <w:pStyle w:val="Title"/>
        <w:jc w:val="left"/>
      </w:pPr>
    </w:p>
    <w:p w14:paraId="2897F442" w14:textId="77777777" w:rsidR="00F64437" w:rsidRDefault="00F64437">
      <w:pPr>
        <w:pStyle w:val="Title"/>
        <w:jc w:val="left"/>
      </w:pPr>
    </w:p>
    <w:p w14:paraId="688254DA" w14:textId="77777777" w:rsidR="00F64437" w:rsidRDefault="00F64437"/>
    <w:p w14:paraId="6AFE16F8" w14:textId="77777777" w:rsidR="00F64437" w:rsidRDefault="00F64437"/>
    <w:p w14:paraId="30C417E3" w14:textId="77777777" w:rsidR="00F64437" w:rsidRDefault="00F64437"/>
    <w:p w14:paraId="6DD5399A" w14:textId="77777777" w:rsidR="00F64437" w:rsidRDefault="00F64437">
      <w:pPr>
        <w:pStyle w:val="Title"/>
        <w:jc w:val="left"/>
      </w:pPr>
    </w:p>
    <w:p w14:paraId="280FB67E" w14:textId="77777777" w:rsidR="00F64437" w:rsidRDefault="00F64437">
      <w:pPr>
        <w:pStyle w:val="Title"/>
        <w:jc w:val="left"/>
      </w:pPr>
    </w:p>
    <w:p w14:paraId="7DD8C8D3" w14:textId="77777777" w:rsidR="00F64437" w:rsidRDefault="00F64437">
      <w:pPr>
        <w:pStyle w:val="Title"/>
        <w:jc w:val="left"/>
      </w:pPr>
    </w:p>
    <w:p w14:paraId="009D4AAE" w14:textId="77777777" w:rsidR="00F64437" w:rsidRDefault="00F64437"/>
    <w:p w14:paraId="2D46AAC9" w14:textId="77777777" w:rsidR="00F64437" w:rsidRDefault="00F64437"/>
    <w:p w14:paraId="0B12B5FE" w14:textId="77777777" w:rsidR="00F64437" w:rsidRDefault="00F64437">
      <w:pPr>
        <w:pStyle w:val="Title"/>
        <w:jc w:val="left"/>
      </w:pPr>
    </w:p>
    <w:p w14:paraId="67DC8F80" w14:textId="77777777" w:rsidR="00F64437" w:rsidRDefault="00F64437">
      <w:pPr>
        <w:pStyle w:val="Title"/>
        <w:jc w:val="left"/>
      </w:pPr>
    </w:p>
    <w:p w14:paraId="137A08DE" w14:textId="77777777" w:rsidR="00F64437" w:rsidRDefault="00F64437">
      <w:pPr>
        <w:pStyle w:val="Title"/>
        <w:jc w:val="left"/>
      </w:pPr>
    </w:p>
    <w:p w14:paraId="4BB2E2E5" w14:textId="77777777" w:rsidR="00F64437" w:rsidRDefault="00F64437"/>
    <w:p w14:paraId="28B75883" w14:textId="77777777" w:rsidR="00F64437" w:rsidRDefault="00DD3FEF">
      <w:r>
        <w:rPr>
          <w:b/>
        </w:rPr>
        <w:lastRenderedPageBreak/>
        <w:t>1.0 Regulatory Analysis</w:t>
      </w:r>
    </w:p>
    <w:p w14:paraId="1CCB73F5" w14:textId="77777777" w:rsidR="00F64437" w:rsidRDefault="00DD3FEF">
      <w:r>
        <w:rPr>
          <w:b/>
        </w:rPr>
        <w:t xml:space="preserve">1.1 Federal Communications </w:t>
      </w:r>
      <w:r w:rsidR="008E0B3E">
        <w:rPr>
          <w:b/>
        </w:rPr>
        <w:t>Commission</w:t>
      </w:r>
    </w:p>
    <w:p w14:paraId="442C33BA" w14:textId="77777777" w:rsidR="00F64437" w:rsidRDefault="00DD3FEF">
      <w:r>
        <w:rPr>
          <w:b/>
        </w:rPr>
        <w:t xml:space="preserve"> </w:t>
      </w:r>
    </w:p>
    <w:p w14:paraId="6EC94979" w14:textId="77777777" w:rsidR="00F64437" w:rsidRDefault="00DD3FEF">
      <w:r>
        <w:t xml:space="preserve">The most important agency to get certification from for any electronic device is the Federal Communications </w:t>
      </w:r>
      <w:r w:rsidR="008E0B3E">
        <w:t>Commission</w:t>
      </w:r>
      <w:r>
        <w:t xml:space="preserve"> (FCC). Essentially, the FCC is a United States government agency that goes about regulating the electronic world, most specifically with regards to any sort of electromagnetic noise source. </w:t>
      </w:r>
    </w:p>
    <w:p w14:paraId="3B149E2B" w14:textId="77777777" w:rsidR="00F64437" w:rsidRDefault="00F64437"/>
    <w:p w14:paraId="2104B12A" w14:textId="77777777" w:rsidR="00F64437" w:rsidRDefault="00DD3FEF">
      <w:r>
        <w:t xml:space="preserve">Almost all electronic devices that have some sort of electromagnetic noise source must register and be certified by the FCC. There are very few things that are constituted as exceptions. It is very important to register a device with the FCC because it is technically “...illegal to import, sell, or lease covered equipment that has not undergone the required equipment authorization </w:t>
      </w:r>
      <w:r w:rsidR="008E0B3E">
        <w:t>procedure [</w:t>
      </w:r>
      <w:r>
        <w:t>5].”</w:t>
      </w:r>
    </w:p>
    <w:p w14:paraId="4C0D4E0E" w14:textId="77777777" w:rsidR="00F64437" w:rsidRDefault="00F64437"/>
    <w:p w14:paraId="357858F6" w14:textId="77777777" w:rsidR="00F64437" w:rsidRDefault="00DD3FEF">
      <w:r>
        <w:t xml:space="preserve">The aggregation of electronic components which make up Digital Knockout is no exception to the FCC. With the use of wireless connections, our game can be classified as an intentional radiator. It is stated that all intentional radiators require authorization. As a result, if we were to have any desire to market our product, it would be necessary to register with the FCC and obtain a formal FCC equipment authorization. </w:t>
      </w:r>
    </w:p>
    <w:p w14:paraId="64F9A218" w14:textId="77777777" w:rsidR="00F64437" w:rsidRDefault="00F64437"/>
    <w:p w14:paraId="57CC4C8F" w14:textId="77777777" w:rsidR="00F64437" w:rsidRDefault="00DD3FEF">
      <w:r>
        <w:t>Four categories constitute FCC equipment authorization. These categories are:</w:t>
      </w:r>
    </w:p>
    <w:p w14:paraId="53A1DB9F" w14:textId="77777777" w:rsidR="00F64437" w:rsidRDefault="00DD3FEF">
      <w:pPr>
        <w:numPr>
          <w:ilvl w:val="0"/>
          <w:numId w:val="6"/>
        </w:numPr>
        <w:ind w:hanging="359"/>
        <w:contextualSpacing/>
      </w:pPr>
      <w:r>
        <w:t>Verification</w:t>
      </w:r>
    </w:p>
    <w:p w14:paraId="03733C28" w14:textId="77777777" w:rsidR="00F64437" w:rsidRDefault="00DD3FEF">
      <w:pPr>
        <w:numPr>
          <w:ilvl w:val="0"/>
          <w:numId w:val="6"/>
        </w:numPr>
        <w:ind w:hanging="359"/>
        <w:contextualSpacing/>
      </w:pPr>
      <w:r>
        <w:t>Declaration of Conformity</w:t>
      </w:r>
    </w:p>
    <w:p w14:paraId="76D77264" w14:textId="77777777" w:rsidR="00F64437" w:rsidRDefault="00DD3FEF">
      <w:pPr>
        <w:numPr>
          <w:ilvl w:val="0"/>
          <w:numId w:val="6"/>
        </w:numPr>
        <w:ind w:hanging="359"/>
        <w:contextualSpacing/>
      </w:pPr>
      <w:r>
        <w:t>Certification</w:t>
      </w:r>
    </w:p>
    <w:p w14:paraId="424C5872" w14:textId="77777777" w:rsidR="00F64437" w:rsidRDefault="00DD3FEF">
      <w:pPr>
        <w:numPr>
          <w:ilvl w:val="0"/>
          <w:numId w:val="6"/>
        </w:numPr>
        <w:ind w:hanging="359"/>
        <w:contextualSpacing/>
      </w:pPr>
      <w:r>
        <w:t>Registration</w:t>
      </w:r>
    </w:p>
    <w:p w14:paraId="05E9D978" w14:textId="77777777" w:rsidR="00F64437" w:rsidRDefault="00F64437"/>
    <w:p w14:paraId="77489214" w14:textId="77777777" w:rsidR="00F64437" w:rsidRDefault="00DD3FEF">
      <w:r>
        <w:t>Since Digital Knockout can be constituted as an intentional regulator, there is not classification into class A or class B digital devices. The classes A and B are for unintentional devices only and their class is determined based upon where the device is intended to be used [6]. However, intentional regulators such as Digital Knockout must apply for the third category of FCC equipment authorization called certification.</w:t>
      </w:r>
    </w:p>
    <w:p w14:paraId="36190007" w14:textId="77777777" w:rsidR="00F64437" w:rsidRDefault="00F64437"/>
    <w:p w14:paraId="7822E2A2" w14:textId="77777777" w:rsidR="00F64437" w:rsidRDefault="00DD3FEF">
      <w:r>
        <w:t>Since it has already been determined that FCC Certification equipment authorization is necessary, only a few steps remain. First, it is required that the device is tested at a Telecommunications Certification Bodies (TCB) lab. As a result, a search for available labs is necessary. One c</w:t>
      </w:r>
      <w:r w:rsidR="00542B1C">
        <w:t>an find labs within the United S</w:t>
      </w:r>
      <w:r>
        <w:t xml:space="preserve">tates by accessing the following link and putting in the </w:t>
      </w:r>
      <w:r w:rsidR="00542B1C">
        <w:t>appropriate</w:t>
      </w:r>
      <w:r>
        <w:t xml:space="preserve"> search information: </w:t>
      </w:r>
      <w:hyperlink r:id="rId7">
        <w:r>
          <w:rPr>
            <w:color w:val="1155CC"/>
            <w:u w:val="single"/>
          </w:rPr>
          <w:t>https://apps.fcc.gov/oetcf/tcb/reports/TCBSearch.cfm</w:t>
        </w:r>
      </w:hyperlink>
      <w:r>
        <w:t>. Just searching for labs in the United States yields 159 matches so it should not be a problem to find a lab in that is relatively close geographically speaking.</w:t>
      </w:r>
    </w:p>
    <w:p w14:paraId="6D5D55BD" w14:textId="77777777" w:rsidR="00F64437" w:rsidRDefault="00F64437"/>
    <w:p w14:paraId="30AF1B4A" w14:textId="77777777" w:rsidR="00F64437" w:rsidRDefault="00DD3FEF">
      <w:r>
        <w:t>Once a lab has been located, it is required to send in the equipment so that test measurements can be taken by the lab. From this point, it is necessary to obtain an FCC Registration Number (FRN). The number can be obtained through the same TCB that undertook the testing of the equipment. However, it is important that one reminds the lab to provide the FRN.</w:t>
      </w:r>
    </w:p>
    <w:p w14:paraId="48B6A173" w14:textId="77777777" w:rsidR="00F64437" w:rsidRDefault="00F64437"/>
    <w:p w14:paraId="215CA221" w14:textId="77777777" w:rsidR="00F64437" w:rsidRDefault="00DD3FEF">
      <w:r>
        <w:lastRenderedPageBreak/>
        <w:t xml:space="preserve">The next step is to obtain a code so that one can be an applicant/grantee. This step is fairly simple. It just requires filling out a </w:t>
      </w:r>
      <w:r w:rsidR="00542B1C">
        <w:t>questionnaire</w:t>
      </w:r>
      <w:r>
        <w:t xml:space="preserve"> at the following FCC link: </w:t>
      </w:r>
      <w:hyperlink r:id="rId8">
        <w:r>
          <w:rPr>
            <w:color w:val="1155CC"/>
            <w:u w:val="single"/>
          </w:rPr>
          <w:t>https://apps.fcc.gov/eas/RegisterGrantee.do</w:t>
        </w:r>
      </w:hyperlink>
      <w:r>
        <w:t xml:space="preserve">. Upon the submission of the questionnaire, the </w:t>
      </w:r>
      <w:r w:rsidR="00542B1C">
        <w:t>commission</w:t>
      </w:r>
      <w:r>
        <w:t xml:space="preserve"> will send the Grantee Code which will be necessary in the next step to fill out an application. </w:t>
      </w:r>
    </w:p>
    <w:p w14:paraId="79C48E4C" w14:textId="77777777" w:rsidR="00F64437" w:rsidRDefault="00F64437"/>
    <w:p w14:paraId="0493F04D" w14:textId="77777777" w:rsidR="00F64437" w:rsidRDefault="00DD3FEF">
      <w:r>
        <w:t xml:space="preserve">As stated in the above paragraph, the Grantee Code will allow one to proceed to filing out the FCC Form 731 application. </w:t>
      </w:r>
      <w:r w:rsidR="00542B1C">
        <w:t xml:space="preserve">This application requires the </w:t>
      </w:r>
      <w:r>
        <w:t xml:space="preserve">FRN, the Grantee Code, the Product Code, and all details about the test labs. After entering in the necessary information at this link, </w:t>
      </w:r>
      <w:hyperlink r:id="rId9">
        <w:r>
          <w:rPr>
            <w:color w:val="1155CC"/>
            <w:u w:val="single"/>
          </w:rPr>
          <w:t>https://apps.fcc.gov/eas/Eas731Welcome.do</w:t>
        </w:r>
      </w:hyperlink>
      <w:r>
        <w:t xml:space="preserve">, one will hit the proceed button and provide any remaining details to fully submit the application. After that, it is just the dues that need to be paid. Then one can wait for the confirmation of </w:t>
      </w:r>
      <w:r w:rsidR="00542B1C">
        <w:t>certification [</w:t>
      </w:r>
      <w:r>
        <w:t xml:space="preserve">6]. From there, it is just important to properly mark the FCC certification on the product and in the </w:t>
      </w:r>
      <w:r w:rsidR="00542B1C">
        <w:t>instructions [</w:t>
      </w:r>
      <w:r>
        <w:t>5].</w:t>
      </w:r>
    </w:p>
    <w:p w14:paraId="3A7662A9" w14:textId="77777777" w:rsidR="00F64437" w:rsidRDefault="00F64437"/>
    <w:p w14:paraId="6AB3B912" w14:textId="77777777" w:rsidR="00F64437" w:rsidRDefault="00DD3FEF">
      <w:r>
        <w:rPr>
          <w:b/>
        </w:rPr>
        <w:t xml:space="preserve">1.2 Electromagnetic Compatibility for the European </w:t>
      </w:r>
      <w:r w:rsidR="00542B1C">
        <w:rPr>
          <w:b/>
        </w:rPr>
        <w:t>Commission</w:t>
      </w:r>
    </w:p>
    <w:p w14:paraId="0BCFD2EA" w14:textId="77777777" w:rsidR="00F64437" w:rsidRDefault="00F64437"/>
    <w:p w14:paraId="3EDB19A6" w14:textId="77777777" w:rsidR="00F64437" w:rsidRDefault="00DD3FEF">
      <w:r>
        <w:t xml:space="preserve">The process of electromagnetic compatibility (EMC) testing is required if one wants the CE (European </w:t>
      </w:r>
      <w:r w:rsidR="00542B1C">
        <w:t>Commission</w:t>
      </w:r>
      <w:r>
        <w:t xml:space="preserve">) mark on their product. The important thing to note for this is that all of the EMC testing can take place at the same time as the FCC testing. It is just vital that one checks to make sure that the lab is globally accredited. When this step is taken care of, testing does not have to take place twice, and money is </w:t>
      </w:r>
      <w:r w:rsidR="00542B1C">
        <w:t>saved [</w:t>
      </w:r>
      <w:r>
        <w:t>5]. From that point, one can go on to apply and receive a Certificate of Conformity.</w:t>
      </w:r>
    </w:p>
    <w:p w14:paraId="7673C972" w14:textId="77777777" w:rsidR="00F64437" w:rsidRDefault="00F64437"/>
    <w:p w14:paraId="530419F1" w14:textId="77777777" w:rsidR="00F64437" w:rsidRDefault="00DD3FEF">
      <w:r>
        <w:rPr>
          <w:b/>
        </w:rPr>
        <w:t>1.3 Restriction of Use of Hazardous Substances (for marketability in Europe)</w:t>
      </w:r>
    </w:p>
    <w:p w14:paraId="5F641262" w14:textId="77777777" w:rsidR="00F64437" w:rsidRDefault="00F64437"/>
    <w:p w14:paraId="1D221FA8" w14:textId="77777777" w:rsidR="00F64437" w:rsidRDefault="00DD3FEF">
      <w:r>
        <w:t>The main purpose of RoHS is to limit the maximum levels of six restricted materials that are possibly utilized in electrical products. The six materials that are restricted are:</w:t>
      </w:r>
    </w:p>
    <w:p w14:paraId="412532A5" w14:textId="77777777" w:rsidR="00F64437" w:rsidRDefault="00F64437"/>
    <w:p w14:paraId="4B14A9C6" w14:textId="77777777" w:rsidR="00F64437" w:rsidRDefault="00DD3FEF">
      <w:pPr>
        <w:numPr>
          <w:ilvl w:val="0"/>
          <w:numId w:val="5"/>
        </w:numPr>
        <w:ind w:hanging="359"/>
        <w:contextualSpacing/>
      </w:pPr>
      <w:r>
        <w:t>Lead</w:t>
      </w:r>
    </w:p>
    <w:p w14:paraId="72C1F5DB" w14:textId="77777777" w:rsidR="00F64437" w:rsidRDefault="00DD3FEF">
      <w:pPr>
        <w:numPr>
          <w:ilvl w:val="0"/>
          <w:numId w:val="5"/>
        </w:numPr>
        <w:ind w:hanging="359"/>
        <w:contextualSpacing/>
      </w:pPr>
      <w:r>
        <w:t>Mercury</w:t>
      </w:r>
    </w:p>
    <w:p w14:paraId="1601C61A" w14:textId="77777777" w:rsidR="00F64437" w:rsidRDefault="00DD3FEF">
      <w:pPr>
        <w:numPr>
          <w:ilvl w:val="0"/>
          <w:numId w:val="5"/>
        </w:numPr>
        <w:ind w:hanging="359"/>
        <w:contextualSpacing/>
      </w:pPr>
      <w:r>
        <w:t>Cadmium</w:t>
      </w:r>
    </w:p>
    <w:p w14:paraId="5D198A84" w14:textId="77777777" w:rsidR="00F64437" w:rsidRDefault="00DD3FEF">
      <w:pPr>
        <w:numPr>
          <w:ilvl w:val="0"/>
          <w:numId w:val="5"/>
        </w:numPr>
        <w:ind w:hanging="359"/>
        <w:contextualSpacing/>
      </w:pPr>
      <w:r>
        <w:t>Hexavalent Chromium</w:t>
      </w:r>
    </w:p>
    <w:p w14:paraId="37E3D733" w14:textId="77777777" w:rsidR="00F64437" w:rsidRDefault="00DD3FEF">
      <w:pPr>
        <w:numPr>
          <w:ilvl w:val="0"/>
          <w:numId w:val="5"/>
        </w:numPr>
        <w:ind w:hanging="359"/>
        <w:contextualSpacing/>
      </w:pPr>
      <w:r>
        <w:t xml:space="preserve">Polybrominated Biphenyls </w:t>
      </w:r>
    </w:p>
    <w:p w14:paraId="3AC392EC" w14:textId="77777777" w:rsidR="00F64437" w:rsidRDefault="00DD3FEF">
      <w:pPr>
        <w:numPr>
          <w:ilvl w:val="0"/>
          <w:numId w:val="5"/>
        </w:numPr>
        <w:ind w:hanging="359"/>
        <w:contextualSpacing/>
      </w:pPr>
      <w:r>
        <w:t xml:space="preserve">Polybrominated Diphenyl Ethers </w:t>
      </w:r>
    </w:p>
    <w:p w14:paraId="7BE847F0" w14:textId="77777777" w:rsidR="00F64437" w:rsidRDefault="00F64437"/>
    <w:p w14:paraId="191CCB16" w14:textId="77777777" w:rsidR="00F64437" w:rsidRDefault="00DD3FEF">
      <w:r>
        <w:t>The biggest worry for a project comprised of PCBs and electrical components like Digital Knockout is the use of lead-based solder. Therefore, if we were to eventually want to market our project in the United Kingdom or Europe, we would need RoHS certification.</w:t>
      </w:r>
    </w:p>
    <w:p w14:paraId="00A7B914" w14:textId="77777777" w:rsidR="00F64437" w:rsidRDefault="00F64437"/>
    <w:p w14:paraId="3D73DC94" w14:textId="77777777" w:rsidR="00F64437" w:rsidRDefault="00DD3FEF">
      <w:r>
        <w:t>There are four main steps to RoHS certification. These four steps are as follows:</w:t>
      </w:r>
    </w:p>
    <w:p w14:paraId="20E1E8F8" w14:textId="77777777" w:rsidR="00F64437" w:rsidRDefault="00F64437"/>
    <w:p w14:paraId="15B330D0" w14:textId="77777777" w:rsidR="00F64437" w:rsidRDefault="00DD3FEF">
      <w:pPr>
        <w:numPr>
          <w:ilvl w:val="0"/>
          <w:numId w:val="8"/>
        </w:numPr>
        <w:ind w:hanging="359"/>
        <w:contextualSpacing/>
      </w:pPr>
      <w:r>
        <w:t>Documentation Review</w:t>
      </w:r>
    </w:p>
    <w:p w14:paraId="16645051" w14:textId="77777777" w:rsidR="00F64437" w:rsidRDefault="00DD3FEF">
      <w:pPr>
        <w:numPr>
          <w:ilvl w:val="0"/>
          <w:numId w:val="8"/>
        </w:numPr>
        <w:ind w:hanging="359"/>
        <w:contextualSpacing/>
      </w:pPr>
      <w:r>
        <w:t>Auditing</w:t>
      </w:r>
    </w:p>
    <w:p w14:paraId="2169E21C" w14:textId="77777777" w:rsidR="00F64437" w:rsidRDefault="00DD3FEF">
      <w:pPr>
        <w:numPr>
          <w:ilvl w:val="0"/>
          <w:numId w:val="8"/>
        </w:numPr>
        <w:ind w:hanging="359"/>
        <w:contextualSpacing/>
      </w:pPr>
      <w:r>
        <w:t>Testing</w:t>
      </w:r>
    </w:p>
    <w:p w14:paraId="761405DD" w14:textId="77777777" w:rsidR="00F64437" w:rsidRDefault="00DD3FEF">
      <w:pPr>
        <w:numPr>
          <w:ilvl w:val="0"/>
          <w:numId w:val="8"/>
        </w:numPr>
        <w:ind w:hanging="359"/>
        <w:contextualSpacing/>
      </w:pPr>
      <w:r>
        <w:t>Certification</w:t>
      </w:r>
    </w:p>
    <w:p w14:paraId="7931EA3D" w14:textId="77777777" w:rsidR="00F64437" w:rsidRDefault="00F64437"/>
    <w:p w14:paraId="0AF42937" w14:textId="77777777" w:rsidR="00F64437" w:rsidRDefault="00DD3FEF">
      <w:r>
        <w:lastRenderedPageBreak/>
        <w:t>The documentation review is basically exactly what it sounds like. The drawings, schematics, PCB designs, bill of materials, declaration of components and products, test reports, and a number of other documents are all reviewed.</w:t>
      </w:r>
    </w:p>
    <w:p w14:paraId="53DDCA9E" w14:textId="77777777" w:rsidR="00F64437" w:rsidRDefault="00F64437"/>
    <w:p w14:paraId="7EB2EC9B" w14:textId="77777777" w:rsidR="00F64437" w:rsidRDefault="00DD3FEF">
      <w:r>
        <w:t>After a review of the documents, an audit must take place. This is just an inspection of the process of manufacturing of the product. All of the process must meet the RoHS standards on the six materials listed above.</w:t>
      </w:r>
    </w:p>
    <w:p w14:paraId="312BF503" w14:textId="77777777" w:rsidR="00F64437" w:rsidRDefault="00F64437"/>
    <w:p w14:paraId="7E6353EB" w14:textId="77777777" w:rsidR="00F64437" w:rsidRDefault="00DD3FEF">
      <w:r>
        <w:t xml:space="preserve">After the audit is completed, testing must be performed. The purpose of the testing is to determine the exact values of the six substances listed above. A certain type of testing is used called XRF testing. This type uses an X-Ray Fluorescence analyzer hence the acronym, XRF. They are quite portable and readily available from a number of different manufacturers. </w:t>
      </w:r>
    </w:p>
    <w:p w14:paraId="43976AC9" w14:textId="77777777" w:rsidR="00F64437" w:rsidRDefault="00F64437"/>
    <w:p w14:paraId="22E88A25" w14:textId="77777777" w:rsidR="00F64437" w:rsidRDefault="00DD3FEF">
      <w:r>
        <w:t>After all of this, the only thing that remains is to acquire the actual certificate. Once the audit is handed out and the test results are verified, the RoHS will issue the applicant a certificate. At that point, one is free to market their electrical product in the United Kingdom and Europe [7].</w:t>
      </w:r>
    </w:p>
    <w:p w14:paraId="4E088136" w14:textId="77777777" w:rsidR="00F64437" w:rsidRDefault="00F64437"/>
    <w:p w14:paraId="3751D14E" w14:textId="77777777" w:rsidR="00F64437" w:rsidRDefault="00DD3FEF">
      <w:r>
        <w:t xml:space="preserve">The easiest way that I could find to carry out these steps is to contact a third party representative such as Intertek. Intertek provides services for RoHS Certification. While it will most likely be more expensive going through another party, one does not have to worry about lost time nor incorrect procedure. As a result, to continue on and begin RoHS Certification, one would want to go to the following link and request more information from Intertek about their services: </w:t>
      </w:r>
      <w:hyperlink r:id="rId10">
        <w:r>
          <w:rPr>
            <w:color w:val="1155CC"/>
            <w:u w:val="single"/>
          </w:rPr>
          <w:t>http://www.intertek.com/contact/inquiry/?route=1202&amp;prompt=5249&amp;id=662&amp;</w:t>
        </w:r>
      </w:hyperlink>
      <w:r>
        <w:t xml:space="preserve">. From there, Intertek would lead the applicant through the process of certification [8]. </w:t>
      </w:r>
    </w:p>
    <w:p w14:paraId="58D76B43" w14:textId="77777777" w:rsidR="00F64437" w:rsidRDefault="00F64437"/>
    <w:p w14:paraId="5B3ABF95" w14:textId="77777777" w:rsidR="00F64437" w:rsidRDefault="00DD3FEF">
      <w:r>
        <w:rPr>
          <w:b/>
        </w:rPr>
        <w:t>1.4 Entertainment Software Ratings Board</w:t>
      </w:r>
    </w:p>
    <w:p w14:paraId="77D49396" w14:textId="77777777" w:rsidR="00F64437" w:rsidRDefault="00F64437"/>
    <w:p w14:paraId="312EE73E" w14:textId="77777777" w:rsidR="00F64437" w:rsidRDefault="00DD3FEF">
      <w:r>
        <w:t xml:space="preserve">As stated on the cover of our webpage, Digital Knockout is an embedded implementation of the ancient sport of boxing. The project consists of 4 gloves with embedded sensors to determine the velocity and positions of the boxing gloves, as well as a pair of vests worn by the participants. Force and punch locations are computed, and in this way players can enjoy contactless sparring. Additionally, Digital Knockout includes the opportunity for one player mode. A vest is hung up, and a user can shadow box against the vest. The force and punch locations are subsequently displayed at the end of the round. </w:t>
      </w:r>
    </w:p>
    <w:p w14:paraId="6F69F1D7" w14:textId="77777777" w:rsidR="00F64437" w:rsidRDefault="00F64437"/>
    <w:p w14:paraId="4E6FA769" w14:textId="77777777" w:rsidR="00F64437" w:rsidRDefault="00DD3FEF">
      <w:r>
        <w:t>As one can see, Digital Knockout is a gaming system. One of the most reputable and important certifications that a game must secure in order to be successful in the gaming market is the ESRB rating. The ESRB (short for Entertainment Software Rating Board) provides ratings for a large number of games. This ratings give very useful information to consumers and parents alike. According to the ESRB website, the three main roles of ratings are:</w:t>
      </w:r>
    </w:p>
    <w:p w14:paraId="2C764CF9" w14:textId="77777777" w:rsidR="00F64437" w:rsidRDefault="00F64437"/>
    <w:p w14:paraId="5173C087" w14:textId="77777777" w:rsidR="00F64437" w:rsidRDefault="00DD3FEF">
      <w:pPr>
        <w:numPr>
          <w:ilvl w:val="0"/>
          <w:numId w:val="1"/>
        </w:numPr>
        <w:ind w:hanging="359"/>
        <w:contextualSpacing/>
      </w:pPr>
      <w:r>
        <w:t>a suggestion of the age-level for the game being rated</w:t>
      </w:r>
    </w:p>
    <w:p w14:paraId="60ADCD3D" w14:textId="77777777" w:rsidR="00F64437" w:rsidRDefault="00DD3FEF">
      <w:pPr>
        <w:numPr>
          <w:ilvl w:val="0"/>
          <w:numId w:val="1"/>
        </w:numPr>
        <w:ind w:hanging="359"/>
        <w:contextualSpacing/>
      </w:pPr>
      <w:r>
        <w:t>deeper description and explanation to certain aspects of the game which merited the game a certain age rating</w:t>
      </w:r>
    </w:p>
    <w:p w14:paraId="06A780F8" w14:textId="77777777" w:rsidR="00F64437" w:rsidRDefault="00DD3FEF">
      <w:pPr>
        <w:numPr>
          <w:ilvl w:val="0"/>
          <w:numId w:val="1"/>
        </w:numPr>
        <w:ind w:hanging="359"/>
        <w:contextualSpacing/>
      </w:pPr>
      <w:r>
        <w:t>information “...about interactive aspects of a product, including users' ability to interact, the sharing of users' location with other users, or the fact that personal information may be shared with third parties”[1]</w:t>
      </w:r>
    </w:p>
    <w:p w14:paraId="630B5B78" w14:textId="77777777" w:rsidR="00F64437" w:rsidRDefault="00F64437"/>
    <w:p w14:paraId="45C0FF55" w14:textId="77777777" w:rsidR="00F64437" w:rsidRDefault="00DD3FEF">
      <w:r>
        <w:t xml:space="preserve">While the rating system through ESRB is voluntary, and the acquisition of an ESRB rating is not technically required, it is extremely beneficial. In fact, certain retailers will refuse to sell games that do not have ESRB ratings. Additionally, some console manufacturers will only allow games to be published on their systems </w:t>
      </w:r>
      <w:r w:rsidR="00542B1C">
        <w:t>if they</w:t>
      </w:r>
      <w:r>
        <w:t xml:space="preserve"> are rated by the ESRB. Therefore, it is very much in our best interest to go through the process of getting the game rated by the board.</w:t>
      </w:r>
    </w:p>
    <w:p w14:paraId="18103992" w14:textId="77777777" w:rsidR="00F64437" w:rsidRDefault="00F64437"/>
    <w:p w14:paraId="417D59C6" w14:textId="77777777" w:rsidR="00F64437" w:rsidRDefault="00DD3FEF">
      <w:r>
        <w:t>In order to get a game rated by the ESRB</w:t>
      </w:r>
      <w:r w:rsidR="00542B1C">
        <w:t>, one</w:t>
      </w:r>
      <w:r>
        <w:t xml:space="preserve"> must register with the board itself. This process does not take long, but it is required in order to continue further. Therefore the first step to certifying Digital Knockout with the ESRB is to register with the board. This requires sending an email to the rating board with a number of different pieces of information. These include the following:</w:t>
      </w:r>
    </w:p>
    <w:p w14:paraId="00E9E291" w14:textId="77777777" w:rsidR="00F64437" w:rsidRDefault="00F64437"/>
    <w:p w14:paraId="27A57BCA" w14:textId="77777777" w:rsidR="00F64437" w:rsidRDefault="00DD3FEF">
      <w:pPr>
        <w:numPr>
          <w:ilvl w:val="0"/>
          <w:numId w:val="4"/>
        </w:numPr>
        <w:ind w:hanging="359"/>
        <w:contextualSpacing/>
      </w:pPr>
      <w:r>
        <w:t>A cover letter with company letterhead which describes the company</w:t>
      </w:r>
    </w:p>
    <w:p w14:paraId="128AC72F" w14:textId="77777777" w:rsidR="00F64437" w:rsidRDefault="00DD3FEF">
      <w:pPr>
        <w:numPr>
          <w:ilvl w:val="0"/>
          <w:numId w:val="4"/>
        </w:numPr>
        <w:ind w:hanging="359"/>
        <w:contextualSpacing/>
      </w:pPr>
      <w:r>
        <w:t>information detailing the product which is intended to be rated</w:t>
      </w:r>
    </w:p>
    <w:p w14:paraId="71080A09" w14:textId="77777777" w:rsidR="00F64437" w:rsidRDefault="00DD3FEF">
      <w:pPr>
        <w:numPr>
          <w:ilvl w:val="0"/>
          <w:numId w:val="4"/>
        </w:numPr>
        <w:ind w:hanging="359"/>
        <w:contextualSpacing/>
      </w:pPr>
      <w:r>
        <w:t>a list of any past products that have been developed</w:t>
      </w:r>
    </w:p>
    <w:p w14:paraId="5C75E70D" w14:textId="77777777" w:rsidR="00F64437" w:rsidRDefault="00DD3FEF">
      <w:pPr>
        <w:numPr>
          <w:ilvl w:val="0"/>
          <w:numId w:val="4"/>
        </w:numPr>
        <w:ind w:hanging="359"/>
        <w:contextualSpacing/>
      </w:pPr>
      <w:r>
        <w:t>details on any other general information such as website address</w:t>
      </w:r>
    </w:p>
    <w:p w14:paraId="322DD5FC" w14:textId="77777777" w:rsidR="00F64437" w:rsidRDefault="00DD3FEF">
      <w:pPr>
        <w:numPr>
          <w:ilvl w:val="0"/>
          <w:numId w:val="4"/>
        </w:numPr>
        <w:ind w:hanging="359"/>
        <w:contextualSpacing/>
      </w:pPr>
      <w:r>
        <w:t>all necessary contact information</w:t>
      </w:r>
    </w:p>
    <w:p w14:paraId="2376EC7B" w14:textId="77777777" w:rsidR="00F64437" w:rsidRDefault="00DD3FEF">
      <w:pPr>
        <w:numPr>
          <w:ilvl w:val="0"/>
          <w:numId w:val="4"/>
        </w:numPr>
        <w:ind w:hanging="359"/>
        <w:contextualSpacing/>
      </w:pPr>
      <w:r>
        <w:t xml:space="preserve">a list of an executives as well as the contact person (if there is one) that the company has with ESRB </w:t>
      </w:r>
    </w:p>
    <w:p w14:paraId="245AEC8C" w14:textId="77777777" w:rsidR="00F64437" w:rsidRDefault="00DD3FEF">
      <w:pPr>
        <w:numPr>
          <w:ilvl w:val="0"/>
          <w:numId w:val="4"/>
        </w:numPr>
        <w:ind w:hanging="359"/>
        <w:contextualSpacing/>
      </w:pPr>
      <w:r>
        <w:t xml:space="preserve">any other information that may be deemed useful or important such as demo discs, informational videos, media kits, </w:t>
      </w:r>
      <w:r w:rsidR="00542B1C">
        <w:t>etc.</w:t>
      </w:r>
    </w:p>
    <w:p w14:paraId="4F3183BC" w14:textId="77777777" w:rsidR="00F64437" w:rsidRDefault="00F64437"/>
    <w:p w14:paraId="3997AB13" w14:textId="77777777" w:rsidR="00F64437" w:rsidRDefault="00DD3FEF">
      <w:r>
        <w:t>All of this information should be sent to the following address:</w:t>
      </w:r>
    </w:p>
    <w:p w14:paraId="0A8AC156" w14:textId="77777777" w:rsidR="00F64437" w:rsidRDefault="00F64437"/>
    <w:p w14:paraId="0827B405" w14:textId="77777777" w:rsidR="00F64437" w:rsidRDefault="00DD3FEF">
      <w:pPr>
        <w:jc w:val="center"/>
      </w:pPr>
      <w:r>
        <w:t>Entertainment Software Rating Board</w:t>
      </w:r>
    </w:p>
    <w:p w14:paraId="7631EAFF" w14:textId="77777777" w:rsidR="00F64437" w:rsidRDefault="00DD3FEF">
      <w:pPr>
        <w:jc w:val="center"/>
      </w:pPr>
      <w:r>
        <w:t>c/o Publisher Account Requests</w:t>
      </w:r>
    </w:p>
    <w:p w14:paraId="741127E7" w14:textId="77777777" w:rsidR="00F64437" w:rsidRDefault="00DD3FEF">
      <w:pPr>
        <w:jc w:val="center"/>
      </w:pPr>
      <w:r>
        <w:t>317 Madison Avenue, 22nd Fl.</w:t>
      </w:r>
    </w:p>
    <w:p w14:paraId="5134BF14" w14:textId="77777777" w:rsidR="00F64437" w:rsidRDefault="00DD3FEF">
      <w:pPr>
        <w:jc w:val="center"/>
      </w:pPr>
      <w:r>
        <w:t>New York, NY 10017</w:t>
      </w:r>
    </w:p>
    <w:p w14:paraId="6F934D56" w14:textId="77777777" w:rsidR="00F64437" w:rsidRDefault="00F64437">
      <w:pPr>
        <w:jc w:val="center"/>
      </w:pPr>
    </w:p>
    <w:p w14:paraId="010ACBBD" w14:textId="77777777" w:rsidR="00F64437" w:rsidRDefault="00F64437"/>
    <w:p w14:paraId="1636CFEE" w14:textId="77777777" w:rsidR="00F64437" w:rsidRDefault="00DD3FEF">
      <w:r>
        <w:t xml:space="preserve">After requesting for access, the company can expect a reply with a receipt of the materials within a </w:t>
      </w:r>
      <w:r w:rsidR="00542B1C">
        <w:t>matter of</w:t>
      </w:r>
      <w:r>
        <w:t xml:space="preserve"> five business days. After this step, then access will be granted to the part of the website that has the services provided by the ESRB. From here, one can select the tab labeled, “Getting a Game Rated” and follow the necessary steps to get the game certified. This includes enclosing two very important forms of content which will allow the ESRB raters to continue ahead and rate the game. The two pieces of content to be disclosed to the board are an ESRB questionnaire and a DVD which details all applicable content. The questionnaire probes the publishers in a way that allows the raters to understand what pertinent content is included in the game. This ranges from detailing violence, sexual content, and language to going over the system of rewards in the game as well as the amount of control a user has in the gameplay. The DVD then encompasses all applicable content inside and outside (if there are </w:t>
      </w:r>
      <w:r w:rsidR="00542B1C">
        <w:t>cut scenes</w:t>
      </w:r>
      <w:r>
        <w:t>, secret levels, etc) of the gameplay.</w:t>
      </w:r>
    </w:p>
    <w:p w14:paraId="4FD38EC4" w14:textId="77777777" w:rsidR="00F64437" w:rsidRDefault="00F64437"/>
    <w:p w14:paraId="0218C81E" w14:textId="77777777" w:rsidR="00F64437" w:rsidRDefault="00DD3FEF">
      <w:r>
        <w:t>From this part, three separate raters review all of the content. They then come together and aggregate all of their findings to publish a rating summary. Finally, after the game actually hits the market, the board will go over the packaging and confirm that the rating is accurately and appropriately displayed [1].</w:t>
      </w:r>
    </w:p>
    <w:p w14:paraId="0BC1C6AC" w14:textId="77777777" w:rsidR="00F64437" w:rsidRDefault="00F64437">
      <w:pPr>
        <w:pStyle w:val="Title"/>
        <w:jc w:val="left"/>
      </w:pPr>
    </w:p>
    <w:p w14:paraId="23EF6890" w14:textId="77777777" w:rsidR="00F64437" w:rsidRDefault="00DD3FEF">
      <w:pPr>
        <w:pStyle w:val="Title"/>
        <w:jc w:val="left"/>
      </w:pPr>
      <w:r>
        <w:rPr>
          <w:sz w:val="24"/>
        </w:rPr>
        <w:t>2.0 Legal Liability Analysis</w:t>
      </w:r>
    </w:p>
    <w:p w14:paraId="328B3000" w14:textId="77777777" w:rsidR="00F64437" w:rsidRDefault="00F64437">
      <w:pPr>
        <w:pStyle w:val="Title"/>
        <w:jc w:val="left"/>
      </w:pPr>
    </w:p>
    <w:p w14:paraId="20BD3679" w14:textId="77777777" w:rsidR="00F64437" w:rsidRDefault="00DD3FEF">
      <w:pPr>
        <w:pStyle w:val="Title"/>
        <w:jc w:val="left"/>
      </w:pPr>
      <w:r>
        <w:rPr>
          <w:sz w:val="24"/>
        </w:rPr>
        <w:t xml:space="preserve">2.1 Analysis of Patent 1, </w:t>
      </w:r>
      <w:r>
        <w:rPr>
          <w:b w:val="0"/>
          <w:sz w:val="24"/>
        </w:rPr>
        <w:t>US Patent Application US 8079938 B2:</w:t>
      </w:r>
    </w:p>
    <w:p w14:paraId="15DF8036" w14:textId="77777777" w:rsidR="00F64437" w:rsidRDefault="00F64437"/>
    <w:p w14:paraId="3A4654F2" w14:textId="77777777" w:rsidR="00F64437" w:rsidRDefault="00DD3FEF">
      <w:r>
        <w:rPr>
          <w:b/>
        </w:rPr>
        <w:t>Patent Title:</w:t>
      </w:r>
      <w:r>
        <w:t xml:space="preserve"> Boxing and martial arts fight, trainer, and game system and method</w:t>
      </w:r>
    </w:p>
    <w:p w14:paraId="3735A863" w14:textId="77777777" w:rsidR="00F64437" w:rsidRDefault="00DD3FEF">
      <w:r>
        <w:rPr>
          <w:b/>
        </w:rPr>
        <w:t>Patent Holder:</w:t>
      </w:r>
      <w:r>
        <w:t xml:space="preserve"> Terry G. Jones and Redza Shah</w:t>
      </w:r>
    </w:p>
    <w:p w14:paraId="20899F4E" w14:textId="77777777" w:rsidR="00F64437" w:rsidRDefault="00DD3FEF">
      <w:r>
        <w:rPr>
          <w:b/>
        </w:rPr>
        <w:t>Patent Filing Date:</w:t>
      </w:r>
      <w:r>
        <w:t xml:space="preserve"> November 1, 2010 </w:t>
      </w:r>
    </w:p>
    <w:p w14:paraId="5AB135CC" w14:textId="77777777" w:rsidR="00F64437" w:rsidRDefault="00F64437"/>
    <w:p w14:paraId="5B69B15E" w14:textId="77777777" w:rsidR="00F64437" w:rsidRDefault="00DD3FEF">
      <w:r>
        <w:t xml:space="preserve">Jones and Shah put forth a patent which eventually made way to commercial status. It is now called the Nexersys. Currently being sold for a thousands of dollars, their boxing and martial arts training and game system has a variety of pads spread out over a frame to allow for the user to punch and kick in different areas. Each individual pad has impact sensors which then send data to a main console which collates all the information and gives the user feedback as to how they have performed in a given training session. </w:t>
      </w:r>
    </w:p>
    <w:p w14:paraId="00C65053" w14:textId="77777777" w:rsidR="00F64437" w:rsidRDefault="00F64437"/>
    <w:p w14:paraId="53042637" w14:textId="77777777" w:rsidR="00F64437" w:rsidRDefault="00DD3FEF">
      <w:r>
        <w:t>Our project, Digital Knockout, has a gameplay mode for one player which is called training mode. While it does resemble the general idea of the boxing trainer that Nexersys presents, Digital Knockout is quite a bit simpler. Rather than sensors being embedded in pads, Digital Knockout has IR sensors sewn onto vests and accelerometers attached to the gloves. As a results, the calculation and gathering of data is quite different than the Nexersys. Both systems send information back to main console to be displayed, but punch statistics are displayed in a much different manner. This stems from two things, difference in analyzing the punch data and the use of a graphic LCD.</w:t>
      </w:r>
    </w:p>
    <w:p w14:paraId="613AF04F" w14:textId="77777777" w:rsidR="00F64437" w:rsidRDefault="00F64437"/>
    <w:p w14:paraId="2D21F452" w14:textId="77777777" w:rsidR="00F64437" w:rsidRDefault="00DD3FEF">
      <w:r>
        <w:t>While there are a large number of claims, the key ones for the Nexersys are as follows:</w:t>
      </w:r>
    </w:p>
    <w:p w14:paraId="0AA6BDAB" w14:textId="77777777" w:rsidR="00F64437" w:rsidRDefault="00F64437"/>
    <w:p w14:paraId="39C6EE5C" w14:textId="77777777" w:rsidR="00F64437" w:rsidRDefault="00DD3FEF">
      <w:pPr>
        <w:numPr>
          <w:ilvl w:val="0"/>
          <w:numId w:val="2"/>
        </w:numPr>
        <w:ind w:hanging="359"/>
        <w:contextualSpacing/>
      </w:pPr>
      <w:r>
        <w:t>an interactive boxing trainer which is packaged to a frame comprised of many different arms with pads</w:t>
      </w:r>
    </w:p>
    <w:p w14:paraId="1FB323D4" w14:textId="77777777" w:rsidR="00F64437" w:rsidRDefault="00DD3FEF">
      <w:pPr>
        <w:numPr>
          <w:ilvl w:val="0"/>
          <w:numId w:val="2"/>
        </w:numPr>
        <w:ind w:hanging="359"/>
        <w:contextualSpacing/>
      </w:pPr>
      <w:r>
        <w:t>speakers connected to the controller</w:t>
      </w:r>
    </w:p>
    <w:p w14:paraId="36723EC7" w14:textId="77777777" w:rsidR="00F64437" w:rsidRDefault="00DD3FEF">
      <w:pPr>
        <w:numPr>
          <w:ilvl w:val="0"/>
          <w:numId w:val="2"/>
        </w:numPr>
        <w:ind w:hanging="359"/>
        <w:contextualSpacing/>
      </w:pPr>
      <w:r>
        <w:t>a fighter avatar on the graphic LCD to show punch statistics</w:t>
      </w:r>
    </w:p>
    <w:p w14:paraId="57DF2C10" w14:textId="77777777" w:rsidR="00F64437" w:rsidRDefault="00DD3FEF">
      <w:pPr>
        <w:numPr>
          <w:ilvl w:val="0"/>
          <w:numId w:val="2"/>
        </w:numPr>
        <w:ind w:hanging="359"/>
        <w:contextualSpacing/>
      </w:pPr>
      <w:r>
        <w:t>impact sensors embedded in the pads which can detect force in multiple axes of motion</w:t>
      </w:r>
    </w:p>
    <w:p w14:paraId="27AA3E80" w14:textId="77777777" w:rsidR="00F64437" w:rsidRDefault="00DD3FEF">
      <w:pPr>
        <w:numPr>
          <w:ilvl w:val="0"/>
          <w:numId w:val="2"/>
        </w:numPr>
        <w:ind w:hanging="359"/>
        <w:contextualSpacing/>
      </w:pPr>
      <w:r>
        <w:t>arms that are capable of moving in more than one axis</w:t>
      </w:r>
    </w:p>
    <w:p w14:paraId="492C826D" w14:textId="77777777" w:rsidR="00F64437" w:rsidRDefault="00DD3FEF">
      <w:pPr>
        <w:numPr>
          <w:ilvl w:val="0"/>
          <w:numId w:val="2"/>
        </w:numPr>
        <w:ind w:hanging="359"/>
        <w:contextualSpacing/>
      </w:pPr>
      <w:r>
        <w:t>audio and visual instruction for game play [2]</w:t>
      </w:r>
    </w:p>
    <w:p w14:paraId="4B9465D7" w14:textId="77777777" w:rsidR="00F64437" w:rsidRDefault="00F64437"/>
    <w:p w14:paraId="1713C592" w14:textId="77777777" w:rsidR="00F64437" w:rsidRDefault="00DD3FEF">
      <w:r>
        <w:t xml:space="preserve">Originally, Digital Knockout was planning on using a graphical LCD with a fighter avatar on the screen to show punch statistics. However, due to cost constraints we decided to strike this idea. It turns out that we would have run into some patent problems as well if we were to have continued on with that path as the Nexersys claims the fighter avatar in claim number 3. </w:t>
      </w:r>
    </w:p>
    <w:p w14:paraId="6C8F2B0F" w14:textId="77777777" w:rsidR="00F64437" w:rsidRDefault="00F64437"/>
    <w:p w14:paraId="4B73C10E" w14:textId="77777777" w:rsidR="00F64437" w:rsidRDefault="00DD3FEF">
      <w:r>
        <w:t>While the training mode for our game does have some resemblance to the training on the Nexersys, their program is much more focused on a training and exercising method. Digital Knockout focuses more on a gaming method. The Nexersys uses a number of keenly spaced pads mounted on a main frame with embedded sensors to train the user and keep track of punch statistics. On the other hand, Digital Knockout is just using a number of intelligently placed IR sensors which have been sewn onto a vest. The vest is hung up and then the accelerometers in the gloves and the sensors on the vest communicate back with the main console to keep track of punch statistics. Despite some resemblance, one can confidently state that there is no infringement on the given patent.</w:t>
      </w:r>
    </w:p>
    <w:p w14:paraId="32C2116D" w14:textId="77777777" w:rsidR="00F64437" w:rsidRDefault="00F64437">
      <w:pPr>
        <w:pStyle w:val="Title"/>
        <w:jc w:val="left"/>
      </w:pPr>
    </w:p>
    <w:p w14:paraId="5A23462F" w14:textId="77777777" w:rsidR="00F64437" w:rsidRDefault="00DD3FEF">
      <w:pPr>
        <w:pStyle w:val="Title"/>
        <w:jc w:val="left"/>
      </w:pPr>
      <w:r>
        <w:rPr>
          <w:sz w:val="24"/>
        </w:rPr>
        <w:t xml:space="preserve">2.2 Analysis of Patent 2, </w:t>
      </w:r>
      <w:r>
        <w:rPr>
          <w:b w:val="0"/>
          <w:sz w:val="24"/>
        </w:rPr>
        <w:t>US Patent Application US 6611782 B1</w:t>
      </w:r>
    </w:p>
    <w:p w14:paraId="16484CC6" w14:textId="77777777" w:rsidR="00F64437" w:rsidRDefault="00F64437"/>
    <w:p w14:paraId="6EB5F748" w14:textId="77777777" w:rsidR="00F64437" w:rsidRDefault="00DD3FEF">
      <w:r>
        <w:rPr>
          <w:b/>
        </w:rPr>
        <w:t>Patent Title:</w:t>
      </w:r>
      <w:r>
        <w:t xml:space="preserve"> Real time boxing sports meter and associated methods</w:t>
      </w:r>
    </w:p>
    <w:p w14:paraId="55DC7D91" w14:textId="77777777" w:rsidR="00F64437" w:rsidRDefault="00DD3FEF">
      <w:r>
        <w:rPr>
          <w:b/>
        </w:rPr>
        <w:t>Patent Holders:</w:t>
      </w:r>
      <w:r>
        <w:t xml:space="preserve"> Mark Wooster, Curtis A. Vock, Perry Youngs, and Adrian Larkin</w:t>
      </w:r>
    </w:p>
    <w:p w14:paraId="06C9F99F" w14:textId="77777777" w:rsidR="00F64437" w:rsidRDefault="00DD3FEF">
      <w:r>
        <w:rPr>
          <w:b/>
        </w:rPr>
        <w:t>Patent Filing Date:</w:t>
      </w:r>
      <w:r>
        <w:t xml:space="preserve"> October 27, 2000</w:t>
      </w:r>
    </w:p>
    <w:p w14:paraId="0D7A095A" w14:textId="77777777" w:rsidR="00F64437" w:rsidRDefault="00F64437">
      <w:pPr>
        <w:pStyle w:val="Title"/>
        <w:jc w:val="left"/>
      </w:pPr>
    </w:p>
    <w:p w14:paraId="1DC58B34" w14:textId="77777777" w:rsidR="00F64437" w:rsidRDefault="00DD3FEF">
      <w:r>
        <w:t>The inventors of this particular patent decided upon creating a system that could sense power within a boxing glove. The idea is to use this system for giving quantitative analysis of the impact of punches during a real boxing match. The data is transmitted from the sensing device in the glove to a remote receiver which is then aggregated and each boxers punch statistics are calculated.</w:t>
      </w:r>
    </w:p>
    <w:p w14:paraId="3E7A04A3" w14:textId="77777777" w:rsidR="00F64437" w:rsidRDefault="00F64437"/>
    <w:p w14:paraId="6A10A446" w14:textId="77777777" w:rsidR="00F64437" w:rsidRDefault="00DD3FEF">
      <w:r>
        <w:t>The key claims which the inventors put forth are:</w:t>
      </w:r>
    </w:p>
    <w:p w14:paraId="1B7B0113" w14:textId="77777777" w:rsidR="00F64437" w:rsidRDefault="00F64437"/>
    <w:p w14:paraId="58E5021A" w14:textId="77777777" w:rsidR="00F64437" w:rsidRDefault="00DD3FEF">
      <w:pPr>
        <w:numPr>
          <w:ilvl w:val="0"/>
          <w:numId w:val="3"/>
        </w:numPr>
        <w:ind w:hanging="359"/>
        <w:contextualSpacing/>
      </w:pPr>
      <w:r>
        <w:t>a way in which one can quantify the impact of punches in a live boxing match</w:t>
      </w:r>
    </w:p>
    <w:p w14:paraId="648E953B" w14:textId="77777777" w:rsidR="00F64437" w:rsidRDefault="00DD3FEF">
      <w:pPr>
        <w:numPr>
          <w:ilvl w:val="0"/>
          <w:numId w:val="3"/>
        </w:numPr>
        <w:ind w:hanging="359"/>
        <w:contextualSpacing/>
      </w:pPr>
      <w:r>
        <w:t>carrying out claim 1 with a power sensing unit embedded in each individual boxing glove</w:t>
      </w:r>
    </w:p>
    <w:p w14:paraId="4CFFE6F4" w14:textId="77777777" w:rsidR="00F64437" w:rsidRDefault="00DD3FEF">
      <w:pPr>
        <w:numPr>
          <w:ilvl w:val="0"/>
          <w:numId w:val="3"/>
        </w:numPr>
        <w:ind w:hanging="359"/>
        <w:contextualSpacing/>
      </w:pPr>
      <w:r>
        <w:t>carrying out claim 1 while transmitting data from the gloves to a main receiver which is docked at a judging station</w:t>
      </w:r>
    </w:p>
    <w:p w14:paraId="104BF569" w14:textId="77777777" w:rsidR="00F64437" w:rsidRDefault="00DD3FEF">
      <w:pPr>
        <w:numPr>
          <w:ilvl w:val="0"/>
          <w:numId w:val="3"/>
        </w:numPr>
        <w:ind w:hanging="359"/>
        <w:contextualSpacing/>
      </w:pPr>
      <w:r>
        <w:t>carrying out claim 1 while acquiring and transmitting acceleration data of punches [3]</w:t>
      </w:r>
    </w:p>
    <w:p w14:paraId="4D127DA8" w14:textId="77777777" w:rsidR="00F64437" w:rsidRDefault="00F64437"/>
    <w:p w14:paraId="596B7EEE" w14:textId="77777777" w:rsidR="00F64437" w:rsidRDefault="00DD3FEF">
      <w:r>
        <w:t xml:space="preserve">At first glance, one may take a look at the four claims stated in the given patent and be tempted to say that Digital Knockout is indeed infringing on many of the claims. After all, Digital Knockout does “quantify the impact of punches...while transmitting data from the gloves to a main receiver...while acquiring and transmitting acceleration data of punches.”  In a sense, Digital Knockout has blatantly infringed on 3 of the 4 claims. However, one must read to the end of the claim. It states the quantification of punch power for claim 1 is done “...in a live boxing match.” The rest of the claims hinge on claim 1. </w:t>
      </w:r>
    </w:p>
    <w:p w14:paraId="0BF155B1" w14:textId="77777777" w:rsidR="00F64437" w:rsidRDefault="00F64437"/>
    <w:p w14:paraId="447129FD" w14:textId="77777777" w:rsidR="00F64437" w:rsidRDefault="00DD3FEF">
      <w:r>
        <w:t>We can differentiate what happens during Digital Knockout to what is being declared in claim 1 by the last stipulation that it is carried out in a live boxing match. Therein lies all the difference. Being a game, we are not doing any of these things in a live boxing match but rather in a virtual one. In fact, all the punch data that is being registered in the game do not come from actual hits to an opponent but rather from a set of data captured by accelerometers and IR sensors. Since it can be shown that there is no infringement of claim 1, then one can conclude that there is no infringement at all because all the remaining claims depend upon the first one.</w:t>
      </w:r>
    </w:p>
    <w:p w14:paraId="44649BB6" w14:textId="77777777" w:rsidR="00F64437" w:rsidRDefault="00F64437"/>
    <w:p w14:paraId="62B675EC" w14:textId="77777777" w:rsidR="00F64437" w:rsidRDefault="00DD3FEF">
      <w:pPr>
        <w:pStyle w:val="Title"/>
        <w:jc w:val="left"/>
      </w:pPr>
      <w:r>
        <w:rPr>
          <w:sz w:val="24"/>
        </w:rPr>
        <w:t xml:space="preserve">2.3 Analysis of Patent 3, </w:t>
      </w:r>
      <w:r>
        <w:rPr>
          <w:b w:val="0"/>
          <w:sz w:val="24"/>
        </w:rPr>
        <w:t>US Patent Application US 7041039 B2</w:t>
      </w:r>
    </w:p>
    <w:p w14:paraId="0CD6D2A7" w14:textId="77777777" w:rsidR="00F64437" w:rsidRDefault="00F64437"/>
    <w:p w14:paraId="285C0412" w14:textId="77777777" w:rsidR="00F64437" w:rsidRDefault="00DD3FEF">
      <w:r>
        <w:rPr>
          <w:b/>
        </w:rPr>
        <w:t>Patent Title:</w:t>
      </w:r>
      <w:r>
        <w:t xml:space="preserve"> Interactive Boxing Trainer</w:t>
      </w:r>
    </w:p>
    <w:p w14:paraId="6D14F13D" w14:textId="77777777" w:rsidR="00F64437" w:rsidRDefault="00DD3FEF">
      <w:r>
        <w:rPr>
          <w:b/>
        </w:rPr>
        <w:t>Patent Holders:</w:t>
      </w:r>
      <w:r>
        <w:t xml:space="preserve"> Leao Wang, and Peter Wu</w:t>
      </w:r>
    </w:p>
    <w:p w14:paraId="5777B508" w14:textId="77777777" w:rsidR="00F64437" w:rsidRDefault="00DD3FEF">
      <w:r>
        <w:rPr>
          <w:b/>
        </w:rPr>
        <w:t>Patent Filing Date:</w:t>
      </w:r>
      <w:r>
        <w:t xml:space="preserve"> October 17, 2003</w:t>
      </w:r>
    </w:p>
    <w:p w14:paraId="2668E81F" w14:textId="77777777" w:rsidR="00F64437" w:rsidRDefault="00F64437"/>
    <w:p w14:paraId="219DBC8A" w14:textId="77777777" w:rsidR="00F64437" w:rsidRDefault="00DD3FEF">
      <w:r>
        <w:t>Wang and Wu created an interactive boxing trainer that includes a control unit, a driving unit, a frame to package everything together, a pair of boxing gloves, a pair of shoes, and signal transmitters and receivers. The interactive trainer has one pad that is capable of moving in both the x and y axes. The driving unit is what is capable of moving the pad. The control unit gets feedback information from the pair of gloves and shoes and then interprets the information and sends it to the driving unit which moves the pad according to an algorithm to try and avoid any incoming punches by the user.</w:t>
      </w:r>
    </w:p>
    <w:p w14:paraId="3B56B45A" w14:textId="77777777" w:rsidR="00F64437" w:rsidRDefault="00F64437">
      <w:pPr>
        <w:pStyle w:val="Title"/>
        <w:jc w:val="left"/>
      </w:pPr>
    </w:p>
    <w:p w14:paraId="0851BFB5" w14:textId="77777777" w:rsidR="00F64437" w:rsidRDefault="00DD3FEF">
      <w:r>
        <w:t>The key claims put forth by Mr. Wang and Mr. Wu are as follows:</w:t>
      </w:r>
    </w:p>
    <w:p w14:paraId="43344285" w14:textId="77777777" w:rsidR="00F64437" w:rsidRDefault="00F64437"/>
    <w:p w14:paraId="46E8B1E5" w14:textId="77777777" w:rsidR="00F64437" w:rsidRDefault="00DD3FEF">
      <w:pPr>
        <w:numPr>
          <w:ilvl w:val="0"/>
          <w:numId w:val="7"/>
        </w:numPr>
        <w:ind w:hanging="359"/>
        <w:contextualSpacing/>
      </w:pPr>
      <w:r>
        <w:t>an interactive boxing trainer comprising a main frame which has a single punch pad which can move in both the x and y axes</w:t>
      </w:r>
    </w:p>
    <w:p w14:paraId="67FD8644" w14:textId="77777777" w:rsidR="00F64437" w:rsidRDefault="00DD3FEF">
      <w:pPr>
        <w:numPr>
          <w:ilvl w:val="0"/>
          <w:numId w:val="7"/>
        </w:numPr>
        <w:ind w:hanging="359"/>
        <w:contextualSpacing/>
      </w:pPr>
      <w:r>
        <w:t>an interactive boxing trainer comprising a driving unit which moves the punch pad in the x and y axes</w:t>
      </w:r>
    </w:p>
    <w:p w14:paraId="0414C403" w14:textId="77777777" w:rsidR="00F64437" w:rsidRDefault="00DD3FEF">
      <w:pPr>
        <w:numPr>
          <w:ilvl w:val="0"/>
          <w:numId w:val="7"/>
        </w:numPr>
        <w:ind w:hanging="359"/>
        <w:contextualSpacing/>
      </w:pPr>
      <w:r>
        <w:t>an interactive boxing trainer comprising a pair of boxing gloves with embedded signal transmitters</w:t>
      </w:r>
    </w:p>
    <w:p w14:paraId="2BB04A62" w14:textId="77777777" w:rsidR="00F64437" w:rsidRDefault="00DD3FEF">
      <w:pPr>
        <w:numPr>
          <w:ilvl w:val="0"/>
          <w:numId w:val="7"/>
        </w:numPr>
        <w:ind w:hanging="359"/>
        <w:contextualSpacing/>
      </w:pPr>
      <w:r>
        <w:t>an interactive boxing trainer comprising a control unit connected with signal receivers and positioned at the upper and lower ends of the main frame [4]</w:t>
      </w:r>
    </w:p>
    <w:p w14:paraId="25225A49" w14:textId="77777777" w:rsidR="00F64437" w:rsidRDefault="00F64437"/>
    <w:p w14:paraId="31EE5D57" w14:textId="77777777" w:rsidR="00F64437" w:rsidRDefault="00DD3FEF">
      <w:r>
        <w:t>The patent put forth by Mr. Wang and Mr. Wu very much resembles a more primitive form of the patent analyzed in section 2.1. However, the only claim put forth by these two gentlemen that is significant to Digital Knockout is claim number 3. It speaks of having a pair of boxing gloves with embedded signal transmitters.</w:t>
      </w:r>
    </w:p>
    <w:p w14:paraId="207F9CA3" w14:textId="77777777" w:rsidR="00F64437" w:rsidRDefault="00F64437"/>
    <w:p w14:paraId="5AA8DE5F" w14:textId="77777777" w:rsidR="00F64437" w:rsidRDefault="00DD3FEF">
      <w:r>
        <w:t>While we do transmit information from the gloves to the main console with embedded signal transmitters, we are not doing so in an interactive boxing trainer. Our transmission is being utilized strictly for a game. While the game can be played in a single player mode which is called training mode, it does not make our game an actual interactive boxing trainer. It is neither interactive in such a way that a target pad moves, nor is it a boxing trainer. It in the end is just an electronics game. As a result, it can be deemed that there is no infringement of any of the claims put forth by the above patent.</w:t>
      </w:r>
    </w:p>
    <w:p w14:paraId="1B67D574" w14:textId="77777777" w:rsidR="00F64437" w:rsidRDefault="00F64437"/>
    <w:p w14:paraId="79748F0A" w14:textId="77777777" w:rsidR="00F64437" w:rsidRDefault="00F64437">
      <w:pPr>
        <w:pStyle w:val="Title"/>
        <w:jc w:val="left"/>
      </w:pPr>
    </w:p>
    <w:p w14:paraId="07A072EA" w14:textId="77777777" w:rsidR="00F64437" w:rsidRDefault="00F64437">
      <w:pPr>
        <w:pStyle w:val="Title"/>
        <w:jc w:val="left"/>
      </w:pPr>
    </w:p>
    <w:p w14:paraId="31652D49" w14:textId="77777777" w:rsidR="00DD3FEF" w:rsidRDefault="00DD3FEF">
      <w:pPr>
        <w:pStyle w:val="Title"/>
        <w:jc w:val="left"/>
        <w:rPr>
          <w:sz w:val="24"/>
        </w:rPr>
      </w:pPr>
    </w:p>
    <w:p w14:paraId="11871ECB" w14:textId="77777777" w:rsidR="00DD3FEF" w:rsidRDefault="00DD3FEF">
      <w:pPr>
        <w:pStyle w:val="Title"/>
        <w:jc w:val="left"/>
        <w:rPr>
          <w:sz w:val="24"/>
        </w:rPr>
      </w:pPr>
    </w:p>
    <w:p w14:paraId="07B4F9FD" w14:textId="77777777" w:rsidR="00DD3FEF" w:rsidRDefault="00DD3FEF">
      <w:pPr>
        <w:pStyle w:val="Title"/>
        <w:jc w:val="left"/>
        <w:rPr>
          <w:sz w:val="24"/>
        </w:rPr>
      </w:pPr>
    </w:p>
    <w:p w14:paraId="44E700C7" w14:textId="77777777" w:rsidR="00DD3FEF" w:rsidRDefault="00DD3FEF">
      <w:pPr>
        <w:pStyle w:val="Title"/>
        <w:jc w:val="left"/>
        <w:rPr>
          <w:sz w:val="24"/>
        </w:rPr>
      </w:pPr>
    </w:p>
    <w:p w14:paraId="6D15B007" w14:textId="77777777" w:rsidR="00F64437" w:rsidRDefault="00F64437"/>
    <w:p w14:paraId="740EDF4C" w14:textId="77777777" w:rsidR="00DD3FEF" w:rsidRDefault="00DD3FEF" w:rsidP="00DD3FEF">
      <w:pPr>
        <w:pStyle w:val="Title"/>
        <w:jc w:val="left"/>
        <w:rPr>
          <w:sz w:val="24"/>
        </w:rPr>
      </w:pPr>
      <w:r>
        <w:rPr>
          <w:sz w:val="24"/>
        </w:rPr>
        <w:t>3.0 Sources Cited:</w:t>
      </w:r>
    </w:p>
    <w:p w14:paraId="79995008" w14:textId="77777777" w:rsidR="00DD3FEF" w:rsidRPr="00DD3FEF" w:rsidRDefault="00DD3FEF" w:rsidP="00DD3FEF"/>
    <w:p w14:paraId="09A032A1" w14:textId="77777777" w:rsidR="00F64437" w:rsidRDefault="00DD3FEF" w:rsidP="00DD3FEF">
      <w:r>
        <w:t xml:space="preserve"> [1] Entertainment Software Rating Board. (2014). </w:t>
      </w:r>
      <w:r>
        <w:rPr>
          <w:i/>
        </w:rPr>
        <w:t xml:space="preserve">Game Publishers </w:t>
      </w:r>
      <w:r>
        <w:t xml:space="preserve">(Online). Available: </w:t>
      </w:r>
      <w:hyperlink r:id="rId11">
        <w:r>
          <w:rPr>
            <w:color w:val="1155CC"/>
            <w:u w:val="single"/>
          </w:rPr>
          <w:t>https://www.esrb.org/publishers/index_notloggedin.jsf</w:t>
        </w:r>
      </w:hyperlink>
      <w:r>
        <w:t xml:space="preserve"> </w:t>
      </w:r>
    </w:p>
    <w:p w14:paraId="61C2F75E" w14:textId="77777777" w:rsidR="00F64437" w:rsidRDefault="00DD3FEF">
      <w:r>
        <w:t xml:space="preserve">[2] Terry G. Jones and Redza Shah. (November 1, 2010). </w:t>
      </w:r>
      <w:r>
        <w:rPr>
          <w:i/>
        </w:rPr>
        <w:t xml:space="preserve">Boxing And Martial Arts Fight, Trainer, and Game System and Method </w:t>
      </w:r>
      <w:r>
        <w:t xml:space="preserve">(Online). Available: </w:t>
      </w:r>
      <w:hyperlink r:id="rId12">
        <w:r>
          <w:rPr>
            <w:color w:val="1155CC"/>
            <w:u w:val="single"/>
          </w:rPr>
          <w:t>https://docs.google.com/viewer?url=patentimages.storage.googleapis.com/pdfs/US8079938.pdf</w:t>
        </w:r>
      </w:hyperlink>
      <w:r>
        <w:t xml:space="preserve"> </w:t>
      </w:r>
    </w:p>
    <w:p w14:paraId="0F98C9C9" w14:textId="77777777" w:rsidR="00F64437" w:rsidRDefault="00DD3FEF">
      <w:r>
        <w:t xml:space="preserve">[3] Mark Wooster, Curtis A. Vock, Perry Youngs, and Adrian Larkin. (October 27, 2000). </w:t>
      </w:r>
      <w:r>
        <w:rPr>
          <w:i/>
        </w:rPr>
        <w:t>Real Time Boxing Sports Meter and Associated Methods</w:t>
      </w:r>
      <w:r>
        <w:t xml:space="preserve"> (Online). Available: </w:t>
      </w:r>
      <w:hyperlink r:id="rId13">
        <w:r>
          <w:rPr>
            <w:color w:val="1155CC"/>
            <w:u w:val="single"/>
          </w:rPr>
          <w:t>https://docs.google.com/viewer?url=patentimages.storage.googleapis.com/pdfs/US6611782.pdf</w:t>
        </w:r>
      </w:hyperlink>
      <w:r>
        <w:t xml:space="preserve"> </w:t>
      </w:r>
    </w:p>
    <w:p w14:paraId="7381E86D" w14:textId="77777777" w:rsidR="00F64437" w:rsidRDefault="00DD3FEF">
      <w:r>
        <w:t xml:space="preserve">[4] Leao Wang and Peter Wu. (October 17, 2003). </w:t>
      </w:r>
      <w:r>
        <w:rPr>
          <w:i/>
        </w:rPr>
        <w:t>Interactive Boxing Trainer</w:t>
      </w:r>
      <w:r>
        <w:t xml:space="preserve">  (Online). Available: </w:t>
      </w:r>
      <w:hyperlink r:id="rId14">
        <w:r>
          <w:rPr>
            <w:color w:val="1155CC"/>
            <w:u w:val="single"/>
          </w:rPr>
          <w:t>https://docs.google.com/viewer?url=patentimages.storage.googleapis.com/pdfs/US7041039.pdf</w:t>
        </w:r>
      </w:hyperlink>
      <w:r>
        <w:t xml:space="preserve"> </w:t>
      </w:r>
    </w:p>
    <w:p w14:paraId="59BE9794" w14:textId="77777777" w:rsidR="00F64437" w:rsidRDefault="00DD3FEF">
      <w:r>
        <w:t xml:space="preserve">[5] Bureau Veritas Consumer Products Services. (2010). </w:t>
      </w:r>
      <w:r>
        <w:rPr>
          <w:i/>
        </w:rPr>
        <w:t xml:space="preserve">Federal Communications Commission Frequently Asked Questions </w:t>
      </w:r>
      <w:r>
        <w:t xml:space="preserve">(Online). Available: </w:t>
      </w:r>
      <w:hyperlink r:id="rId15">
        <w:r>
          <w:rPr>
            <w:color w:val="1155CC"/>
            <w:u w:val="single"/>
          </w:rPr>
          <w:t>http://www.bureauveritas.com/wps/wcm/connect/31b53f004edb713e8d5fcd600bbc220b/FCC_Frequently_Asked_Questions_Aug10.pdf?MOD=AJPERES</w:t>
        </w:r>
      </w:hyperlink>
    </w:p>
    <w:p w14:paraId="7FC9FDE0" w14:textId="77777777" w:rsidR="00F64437" w:rsidRDefault="00DD3FEF">
      <w:r>
        <w:t xml:space="preserve">[6] Federal Communications Commision (April 18, 2012). </w:t>
      </w:r>
      <w:r>
        <w:rPr>
          <w:i/>
        </w:rPr>
        <w:t xml:space="preserve">Equipment Authorization </w:t>
      </w:r>
      <w:r>
        <w:t xml:space="preserve">(Online). Available: </w:t>
      </w:r>
      <w:hyperlink r:id="rId16">
        <w:r>
          <w:rPr>
            <w:color w:val="1155CC"/>
            <w:u w:val="single"/>
          </w:rPr>
          <w:t>http://transition.fcc.gov/oet/ea/ea_app_info.html</w:t>
        </w:r>
      </w:hyperlink>
      <w:r>
        <w:t xml:space="preserve"> </w:t>
      </w:r>
    </w:p>
    <w:p w14:paraId="031D76E9" w14:textId="77777777" w:rsidR="00F64437" w:rsidRDefault="00DD3FEF">
      <w:r>
        <w:t xml:space="preserve">[7] RoHS Guide Compliance (2014). </w:t>
      </w:r>
      <w:r>
        <w:rPr>
          <w:i/>
        </w:rPr>
        <w:t>RoHS Steps to Certification</w:t>
      </w:r>
      <w:r>
        <w:t xml:space="preserve"> (Online). Available: </w:t>
      </w:r>
      <w:hyperlink r:id="rId17">
        <w:r>
          <w:rPr>
            <w:color w:val="1155CC"/>
            <w:u w:val="single"/>
          </w:rPr>
          <w:t>http://www.rohsguide.com/rohs-certification.htm</w:t>
        </w:r>
      </w:hyperlink>
      <w:r>
        <w:t xml:space="preserve"> </w:t>
      </w:r>
    </w:p>
    <w:p w14:paraId="1C6777ED" w14:textId="77777777" w:rsidR="00F64437" w:rsidRDefault="00DD3FEF">
      <w:r>
        <w:t xml:space="preserve">[8] Interek (August 1, 2013). </w:t>
      </w:r>
      <w:r>
        <w:rPr>
          <w:i/>
        </w:rPr>
        <w:t>RoHS Product Certification Services</w:t>
      </w:r>
      <w:r>
        <w:t xml:space="preserve"> (Online). Available: </w:t>
      </w:r>
      <w:hyperlink r:id="rId18">
        <w:r>
          <w:rPr>
            <w:color w:val="1155CC"/>
            <w:u w:val="single"/>
          </w:rPr>
          <w:t>http://www.intertek.com/rohs/product-certification/</w:t>
        </w:r>
      </w:hyperlink>
      <w:r>
        <w:t xml:space="preserve"> </w:t>
      </w:r>
      <w:hyperlink r:id="rId19"/>
    </w:p>
    <w:p w14:paraId="48708A2E" w14:textId="77777777" w:rsidR="00F64437" w:rsidRDefault="00DD3FEF">
      <w:r>
        <w:rPr>
          <w:noProof/>
        </w:rPr>
        <w:drawing>
          <wp:inline distT="114300" distB="114300" distL="114300" distR="114300" wp14:anchorId="2071D157" wp14:editId="4978CD26">
            <wp:extent cx="9525" cy="9525"/>
            <wp:effectExtent l="0" t="0" r="0" b="0"/>
            <wp:docPr id="1" name="image01.gif"/>
            <wp:cNvGraphicFramePr/>
            <a:graphic xmlns:a="http://schemas.openxmlformats.org/drawingml/2006/main">
              <a:graphicData uri="http://schemas.openxmlformats.org/drawingml/2006/picture">
                <pic:pic xmlns:pic="http://schemas.openxmlformats.org/drawingml/2006/picture">
                  <pic:nvPicPr>
                    <pic:cNvPr id="0" name="image01.gif"/>
                    <pic:cNvPicPr preferRelativeResize="0"/>
                  </pic:nvPicPr>
                  <pic:blipFill>
                    <a:blip r:embed="rId20"/>
                    <a:srcRect/>
                    <a:stretch>
                      <a:fillRect/>
                    </a:stretch>
                  </pic:blipFill>
                  <pic:spPr>
                    <a:xfrm>
                      <a:off x="0" y="0"/>
                      <a:ext cx="9525" cy="9525"/>
                    </a:xfrm>
                    <a:prstGeom prst="rect">
                      <a:avLst/>
                    </a:prstGeom>
                    <a:ln/>
                  </pic:spPr>
                </pic:pic>
              </a:graphicData>
            </a:graphic>
          </wp:inline>
        </w:drawing>
      </w:r>
    </w:p>
    <w:sectPr w:rsidR="00F64437">
      <w:headerReference w:type="default" r:id="rId21"/>
      <w:footerReference w:type="defaul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4BB45" w14:textId="77777777" w:rsidR="00802F55" w:rsidRDefault="00DD3FEF">
      <w:r>
        <w:separator/>
      </w:r>
    </w:p>
  </w:endnote>
  <w:endnote w:type="continuationSeparator" w:id="0">
    <w:p w14:paraId="06469BB0" w14:textId="77777777" w:rsidR="00802F55" w:rsidRDefault="00DD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60324" w14:textId="77777777" w:rsidR="00F64437" w:rsidRDefault="001B1EC4">
    <w:pPr>
      <w:tabs>
        <w:tab w:val="center" w:pos="4320"/>
        <w:tab w:val="right" w:pos="8640"/>
      </w:tabs>
    </w:pPr>
    <w:hyperlink r:id="rId1">
      <w:r w:rsidR="00DD3FEF">
        <w:rPr>
          <w:color w:val="0000FF"/>
          <w:u w:val="single"/>
        </w:rPr>
        <w:t>https://engineering.purdue.edu/ece477</w:t>
      </w:r>
    </w:hyperlink>
    <w:r w:rsidR="00DD3FEF">
      <w:t xml:space="preserve"> </w:t>
    </w:r>
    <w:r w:rsidR="00DD3FEF">
      <w:tab/>
    </w:r>
    <w:r w:rsidR="00DD3FEF">
      <w:tab/>
      <w:t xml:space="preserve">Page </w:t>
    </w:r>
    <w:r w:rsidR="00DD3FEF">
      <w:fldChar w:fldCharType="begin"/>
    </w:r>
    <w:r w:rsidR="00DD3FEF">
      <w:instrText>PAGE</w:instrText>
    </w:r>
    <w:r w:rsidR="00DD3FEF">
      <w:fldChar w:fldCharType="separate"/>
    </w:r>
    <w:r>
      <w:rPr>
        <w:noProof/>
      </w:rPr>
      <w:t>8</w:t>
    </w:r>
    <w:r w:rsidR="00DD3FEF">
      <w:fldChar w:fldCharType="end"/>
    </w:r>
    <w:r w:rsidR="00DD3FEF">
      <w:t xml:space="preserve"> of </w:t>
    </w:r>
    <w:r w:rsidR="00DD3FEF">
      <w:fldChar w:fldCharType="begin"/>
    </w:r>
    <w:r w:rsidR="00DD3FEF">
      <w:instrText>NUMPAGES</w:instrText>
    </w:r>
    <w:r w:rsidR="00DD3FEF">
      <w:fldChar w:fldCharType="separate"/>
    </w:r>
    <w:r>
      <w:rPr>
        <w:noProof/>
      </w:rPr>
      <w:t>9</w:t>
    </w:r>
    <w:r w:rsidR="00DD3FEF">
      <w:fldChar w:fldCharType="end"/>
    </w:r>
  </w:p>
  <w:p w14:paraId="23F33613" w14:textId="77777777" w:rsidR="00F64437" w:rsidRDefault="00F64437">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F558A" w14:textId="77777777" w:rsidR="00802F55" w:rsidRDefault="00DD3FEF">
      <w:r>
        <w:separator/>
      </w:r>
    </w:p>
  </w:footnote>
  <w:footnote w:type="continuationSeparator" w:id="0">
    <w:p w14:paraId="011774E2" w14:textId="77777777" w:rsidR="00802F55" w:rsidRDefault="00DD3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67280" w14:textId="77777777" w:rsidR="00F64437" w:rsidRDefault="00DD3FEF">
    <w:pPr>
      <w:tabs>
        <w:tab w:val="center" w:pos="4680"/>
        <w:tab w:val="right" w:pos="9360"/>
        <w:tab w:val="right" w:pos="12960"/>
      </w:tabs>
    </w:pPr>
    <w:r>
      <w:t>ECE 477: Digital Systems Senior Design</w:t>
    </w:r>
    <w:r>
      <w:tab/>
    </w:r>
    <w:r>
      <w:rPr>
        <w:i/>
      </w:rPr>
      <w:tab/>
    </w:r>
    <w:r>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860"/>
    <w:multiLevelType w:val="multilevel"/>
    <w:tmpl w:val="374CDAC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510353E"/>
    <w:multiLevelType w:val="multilevel"/>
    <w:tmpl w:val="97E2577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6555431"/>
    <w:multiLevelType w:val="multilevel"/>
    <w:tmpl w:val="533803E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278A2194"/>
    <w:multiLevelType w:val="multilevel"/>
    <w:tmpl w:val="EB608B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542A04D7"/>
    <w:multiLevelType w:val="multilevel"/>
    <w:tmpl w:val="A628CEA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5E401824"/>
    <w:multiLevelType w:val="multilevel"/>
    <w:tmpl w:val="950A21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65B4713F"/>
    <w:multiLevelType w:val="multilevel"/>
    <w:tmpl w:val="BF76CD8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AAB3EA0"/>
    <w:multiLevelType w:val="multilevel"/>
    <w:tmpl w:val="78942D9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437"/>
    <w:rsid w:val="001B1EC4"/>
    <w:rsid w:val="003A7E66"/>
    <w:rsid w:val="00542B1C"/>
    <w:rsid w:val="00802F55"/>
    <w:rsid w:val="008E0B3E"/>
    <w:rsid w:val="00DD3FEF"/>
    <w:rsid w:val="00F64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974BC"/>
  <w15:docId w15:val="{59852F1D-AE45-426D-9371-1359CCA1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i/>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3A7E66"/>
    <w:rPr>
      <w:sz w:val="16"/>
      <w:szCs w:val="16"/>
    </w:rPr>
  </w:style>
  <w:style w:type="paragraph" w:styleId="CommentText">
    <w:name w:val="annotation text"/>
    <w:basedOn w:val="Normal"/>
    <w:link w:val="CommentTextChar"/>
    <w:uiPriority w:val="99"/>
    <w:semiHidden/>
    <w:unhideWhenUsed/>
    <w:rsid w:val="003A7E66"/>
    <w:rPr>
      <w:sz w:val="20"/>
    </w:rPr>
  </w:style>
  <w:style w:type="character" w:customStyle="1" w:styleId="CommentTextChar">
    <w:name w:val="Comment Text Char"/>
    <w:basedOn w:val="DefaultParagraphFont"/>
    <w:link w:val="CommentText"/>
    <w:uiPriority w:val="99"/>
    <w:semiHidden/>
    <w:rsid w:val="003A7E66"/>
    <w:rPr>
      <w:sz w:val="20"/>
    </w:rPr>
  </w:style>
  <w:style w:type="paragraph" w:styleId="CommentSubject">
    <w:name w:val="annotation subject"/>
    <w:basedOn w:val="CommentText"/>
    <w:next w:val="CommentText"/>
    <w:link w:val="CommentSubjectChar"/>
    <w:uiPriority w:val="99"/>
    <w:semiHidden/>
    <w:unhideWhenUsed/>
    <w:rsid w:val="003A7E66"/>
    <w:rPr>
      <w:b/>
      <w:bCs/>
    </w:rPr>
  </w:style>
  <w:style w:type="character" w:customStyle="1" w:styleId="CommentSubjectChar">
    <w:name w:val="Comment Subject Char"/>
    <w:basedOn w:val="CommentTextChar"/>
    <w:link w:val="CommentSubject"/>
    <w:uiPriority w:val="99"/>
    <w:semiHidden/>
    <w:rsid w:val="003A7E66"/>
    <w:rPr>
      <w:b/>
      <w:bCs/>
      <w:sz w:val="20"/>
    </w:rPr>
  </w:style>
  <w:style w:type="paragraph" w:styleId="BalloonText">
    <w:name w:val="Balloon Text"/>
    <w:basedOn w:val="Normal"/>
    <w:link w:val="BalloonTextChar"/>
    <w:uiPriority w:val="99"/>
    <w:semiHidden/>
    <w:unhideWhenUsed/>
    <w:rsid w:val="003A7E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E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apps.fcc.gov/eas/RegisterGrantee.do" TargetMode="External"/><Relationship Id="rId13" Type="http://schemas.openxmlformats.org/officeDocument/2006/relationships/hyperlink" Target="https://docs.google.com/viewer?url=patentimages.storage.googleapis.com/pdfs/US6611782.pdf" TargetMode="External"/><Relationship Id="rId18" Type="http://schemas.openxmlformats.org/officeDocument/2006/relationships/hyperlink" Target="http://www.intertek.com/rohs/product-certificatio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apps.fcc.gov/oetcf/tcb/reports/TCBSearch.cfm" TargetMode="External"/><Relationship Id="rId12" Type="http://schemas.openxmlformats.org/officeDocument/2006/relationships/hyperlink" Target="https://docs.google.com/viewer?url=patentimages.storage.googleapis.com/pdfs/US8079938.pdf" TargetMode="External"/><Relationship Id="rId17" Type="http://schemas.openxmlformats.org/officeDocument/2006/relationships/hyperlink" Target="http://www.rohsguide.com/rohs-certification.htm" TargetMode="External"/><Relationship Id="rId2" Type="http://schemas.openxmlformats.org/officeDocument/2006/relationships/styles" Target="styles.xml"/><Relationship Id="rId16" Type="http://schemas.openxmlformats.org/officeDocument/2006/relationships/hyperlink" Target="http://transition.fcc.gov/oet/ea/ea_app_info.html" TargetMode="External"/><Relationship Id="rId20" Type="http://schemas.openxmlformats.org/officeDocument/2006/relationships/image" Target="media/image1.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rb.org/publishers/index_notloggedin.js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ureauveritas.com/wps/wcm/connect/31b53f004edb713e8d5fcd600bbc220b/FCC_Frequently_Asked_Questions_Aug10.pdf?MOD=AJPERES" TargetMode="External"/><Relationship Id="rId23" Type="http://schemas.openxmlformats.org/officeDocument/2006/relationships/fontTable" Target="fontTable.xml"/><Relationship Id="rId10" Type="http://schemas.openxmlformats.org/officeDocument/2006/relationships/hyperlink" Target="http://www.intertek.com/contact/inquiry/?route=1202&amp;prompt=5249&amp;id=662&amp;" TargetMode="External"/><Relationship Id="rId19" Type="http://schemas.openxmlformats.org/officeDocument/2006/relationships/hyperlink" Target="http://www.bureauveritas.com/wps/wcm/connect/31b53f004edb713e8d5fcd600bbc220b/FCC_Frequently_Asked_Questions_Aug10.pdf?MOD=AJPERES" TargetMode="External"/><Relationship Id="rId4" Type="http://schemas.openxmlformats.org/officeDocument/2006/relationships/webSettings" Target="webSettings.xml"/><Relationship Id="rId9" Type="http://schemas.openxmlformats.org/officeDocument/2006/relationships/hyperlink" Target="https://apps.fcc.gov/eas/Eas731Welcome.do" TargetMode="External"/><Relationship Id="rId14" Type="http://schemas.openxmlformats.org/officeDocument/2006/relationships/hyperlink" Target="https://docs.google.com/viewer?url=patentimages.storage.googleapis.com/pdfs/US7041039.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3344</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9_LegalAnalysis.docx</vt:lpstr>
    </vt:vector>
  </TitlesOfParts>
  <Company>Purdue University</Company>
  <LinksUpToDate>false</LinksUpToDate>
  <CharactersWithSpaces>22367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9_LegalAnalysis.docx</dc:title>
  <dc:creator>Zak, Elliot D</dc:creator>
  <cp:lastModifiedBy>George Hadley</cp:lastModifiedBy>
  <cp:revision>6</cp:revision>
  <dcterms:created xsi:type="dcterms:W3CDTF">2014-10-31T22:50:00Z</dcterms:created>
  <dcterms:modified xsi:type="dcterms:W3CDTF">2015-10-07T13:13:00Z</dcterms:modified>
</cp:coreProperties>
</file>