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7C746F">
        <w:rPr>
          <w:szCs w:val="24"/>
        </w:rPr>
        <w:t>Minutes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BF7587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27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>
        <w:rPr>
          <w:szCs w:val="24"/>
        </w:rPr>
        <w:t>2:30 – 3:30 p.m.</w:t>
      </w:r>
      <w:r w:rsidR="00D54751">
        <w:rPr>
          <w:szCs w:val="24"/>
        </w:rPr>
        <w:t xml:space="preserve"> in ARMS </w:t>
      </w:r>
      <w:r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7C746F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D54751">
        <w:rPr>
          <w:szCs w:val="24"/>
        </w:rPr>
        <w:t>R. Cipra</w:t>
      </w:r>
      <w:r w:rsidR="00D54751" w:rsidRPr="00230367">
        <w:rPr>
          <w:szCs w:val="24"/>
        </w:rPr>
        <w:t xml:space="preserve">, </w:t>
      </w:r>
      <w:r w:rsidR="00D54751"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 w:rsidR="00D54751">
        <w:rPr>
          <w:szCs w:val="24"/>
        </w:rPr>
        <w:t xml:space="preserve">, </w:t>
      </w:r>
      <w:r w:rsidR="00BF7587">
        <w:rPr>
          <w:szCs w:val="24"/>
        </w:rPr>
        <w:t>Z. Ouyang</w:t>
      </w:r>
      <w:r w:rsidR="00D54751">
        <w:rPr>
          <w:szCs w:val="24"/>
        </w:rPr>
        <w:t xml:space="preserve">, </w:t>
      </w:r>
      <w:r w:rsidR="00BF7587">
        <w:rPr>
          <w:szCs w:val="24"/>
        </w:rPr>
        <w:t>J. Tanchoco</w:t>
      </w:r>
      <w:r w:rsidR="00D54751">
        <w:rPr>
          <w:szCs w:val="24"/>
        </w:rPr>
        <w:t xml:space="preserve">, </w:t>
      </w:r>
      <w:r w:rsidR="002617A2">
        <w:rPr>
          <w:szCs w:val="24"/>
        </w:rPr>
        <w:t>M. Corless</w:t>
      </w:r>
      <w:r w:rsidR="00D54751">
        <w:rPr>
          <w:szCs w:val="24"/>
        </w:rPr>
        <w:t>,</w:t>
      </w:r>
      <w:r w:rsidR="00BF7587">
        <w:rPr>
          <w:szCs w:val="24"/>
        </w:rPr>
        <w:t xml:space="preserve"> </w:t>
      </w:r>
      <w:r w:rsidR="002617A2">
        <w:rPr>
          <w:szCs w:val="24"/>
        </w:rPr>
        <w:t>K. Kokini</w:t>
      </w: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R. Trice</w:t>
      </w:r>
      <w:r w:rsidR="007C746F">
        <w:rPr>
          <w:szCs w:val="24"/>
        </w:rPr>
        <w:t>, L. Tsoukalas, R. Agrawal, S. Bagchi, G. Krutz, I. Hua, A. Kandil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7C746F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2:35 p.m.</w:t>
      </w:r>
    </w:p>
    <w:p w:rsidR="000E1DEA" w:rsidRDefault="000E1DE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  <w:r w:rsidR="007C746F">
        <w:rPr>
          <w:szCs w:val="24"/>
        </w:rPr>
        <w:t xml:space="preserve"> were made.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7C746F">
        <w:rPr>
          <w:szCs w:val="24"/>
        </w:rPr>
        <w:t>ed and approved by consensus.</w:t>
      </w:r>
    </w:p>
    <w:p w:rsidR="000E1DEA" w:rsidRDefault="007C746F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K. Kokini r</w:t>
      </w:r>
      <w:r w:rsidR="00FD1FF9">
        <w:rPr>
          <w:szCs w:val="24"/>
        </w:rPr>
        <w:t>eview</w:t>
      </w:r>
      <w:r>
        <w:rPr>
          <w:szCs w:val="24"/>
        </w:rPr>
        <w:t>ed the</w:t>
      </w:r>
      <w:r w:rsidR="00FD1FF9">
        <w:rPr>
          <w:szCs w:val="24"/>
        </w:rPr>
        <w:t xml:space="preserve"> purpose of committee</w:t>
      </w:r>
      <w:r>
        <w:rPr>
          <w:szCs w:val="24"/>
        </w:rPr>
        <w:t>.</w:t>
      </w:r>
    </w:p>
    <w:p w:rsidR="00FD1FF9" w:rsidRDefault="007C746F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Nominations for chair were requested.  Motion wa</w:t>
      </w:r>
      <w:r w:rsidR="00E13DC4">
        <w:rPr>
          <w:szCs w:val="24"/>
        </w:rPr>
        <w:t>s made by M. Kreger to nominate</w:t>
      </w:r>
      <w:r>
        <w:rPr>
          <w:szCs w:val="24"/>
        </w:rPr>
        <w:t xml:space="preserve"> R. Cipra.  Seconded by M. Corless.  </w:t>
      </w:r>
      <w:r w:rsidR="00E13DC4">
        <w:rPr>
          <w:szCs w:val="24"/>
        </w:rPr>
        <w:t>R. Cipra was elected as chair with a vote of 7-0.</w:t>
      </w:r>
    </w:p>
    <w:p w:rsidR="00D54751" w:rsidRDefault="00E13DC4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BF7587">
        <w:rPr>
          <w:szCs w:val="24"/>
        </w:rPr>
        <w:t xml:space="preserve">May </w:t>
      </w:r>
      <w:r w:rsidR="000E1DEA">
        <w:rPr>
          <w:szCs w:val="24"/>
        </w:rPr>
        <w:t>2</w:t>
      </w:r>
      <w:r w:rsidR="00EC2D47">
        <w:rPr>
          <w:szCs w:val="24"/>
        </w:rPr>
        <w:t>, 2013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approved.</w:t>
      </w:r>
    </w:p>
    <w:p w:rsidR="00706B53" w:rsidRDefault="00E13DC4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K. Kokini provided an update on faculty hiring.  </w:t>
      </w:r>
    </w:p>
    <w:p w:rsidR="00302857" w:rsidRDefault="00302857" w:rsidP="00E81267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  <w:r>
        <w:rPr>
          <w:szCs w:val="24"/>
        </w:rPr>
        <w:t>Notes</w:t>
      </w:r>
      <w:r w:rsidR="00E81267">
        <w:rPr>
          <w:szCs w:val="24"/>
        </w:rPr>
        <w:t>:</w:t>
      </w:r>
    </w:p>
    <w:p w:rsidR="00302857" w:rsidRDefault="00302857" w:rsidP="00E81267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1440"/>
        <w:rPr>
          <w:szCs w:val="24"/>
        </w:rPr>
      </w:pPr>
      <w:r>
        <w:rPr>
          <w:szCs w:val="24"/>
        </w:rPr>
        <w:t>Emphasis on timely searches</w:t>
      </w:r>
    </w:p>
    <w:p w:rsidR="00302857" w:rsidRDefault="00CA52F6" w:rsidP="00E81267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1440"/>
        <w:rPr>
          <w:szCs w:val="24"/>
        </w:rPr>
      </w:pPr>
      <w:r>
        <w:rPr>
          <w:szCs w:val="24"/>
        </w:rPr>
        <w:t>Faculty of Engineering Practice defined – Similar to the university clinical professor category, i.e., non-tenure/tenure track, no research</w:t>
      </w:r>
    </w:p>
    <w:p w:rsidR="00CA52F6" w:rsidRDefault="00CA52F6" w:rsidP="00E81267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1440"/>
        <w:rPr>
          <w:szCs w:val="24"/>
        </w:rPr>
      </w:pPr>
      <w:r>
        <w:rPr>
          <w:szCs w:val="24"/>
        </w:rPr>
        <w:t>Retention efforts are important, especially dual career issues</w:t>
      </w:r>
    </w:p>
    <w:p w:rsidR="00CA52F6" w:rsidRDefault="00CA52F6" w:rsidP="00CA52F6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Common voting/election tool discussion</w:t>
      </w:r>
      <w:r w:rsidR="005404AC">
        <w:rPr>
          <w:szCs w:val="24"/>
        </w:rPr>
        <w:t xml:space="preserve">.  </w:t>
      </w:r>
      <w:r w:rsidR="005404AC" w:rsidRPr="005404AC">
        <w:rPr>
          <w:b/>
          <w:szCs w:val="24"/>
        </w:rPr>
        <w:t>Action:</w:t>
      </w:r>
      <w:r w:rsidR="005404AC">
        <w:rPr>
          <w:szCs w:val="24"/>
        </w:rPr>
        <w:t xml:space="preserve">  Reps should ask their facul</w:t>
      </w:r>
      <w:r w:rsidR="00000515">
        <w:rPr>
          <w:szCs w:val="24"/>
        </w:rPr>
        <w:t>t</w:t>
      </w:r>
      <w:r w:rsidR="005404AC">
        <w:rPr>
          <w:szCs w:val="24"/>
        </w:rPr>
        <w:t>ies if they’d like to move to electronic voting.</w:t>
      </w:r>
    </w:p>
    <w:p w:rsidR="005404AC" w:rsidRDefault="00E81267" w:rsidP="00CA52F6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Potential</w:t>
      </w:r>
      <w:r w:rsidR="005404AC">
        <w:rPr>
          <w:szCs w:val="24"/>
        </w:rPr>
        <w:t xml:space="preserve"> topics for discussion</w:t>
      </w:r>
    </w:p>
    <w:p w:rsidR="005404AC" w:rsidRDefault="005404AC" w:rsidP="00000515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Address the decline in under-represented minority faculty numbers</w:t>
      </w:r>
    </w:p>
    <w:p w:rsidR="005404AC" w:rsidRDefault="005404AC" w:rsidP="00000515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Major Moves re:  Polytechnic Institute.  Are there overlaps, areas for collaboration?  </w:t>
      </w:r>
      <w:r w:rsidR="00000515">
        <w:rPr>
          <w:szCs w:val="24"/>
        </w:rPr>
        <w:t xml:space="preserve">For discussion after President </w:t>
      </w:r>
      <w:proofErr w:type="gramStart"/>
      <w:r w:rsidR="00000515">
        <w:rPr>
          <w:szCs w:val="24"/>
        </w:rPr>
        <w:t>forum</w:t>
      </w:r>
      <w:proofErr w:type="gramEnd"/>
      <w:r w:rsidR="00000515">
        <w:rPr>
          <w:szCs w:val="24"/>
        </w:rPr>
        <w:t xml:space="preserve"> on this topic.</w:t>
      </w:r>
    </w:p>
    <w:p w:rsidR="00E81267" w:rsidRDefault="00E81267" w:rsidP="00E81267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</w:p>
    <w:p w:rsidR="00E81267" w:rsidRDefault="00E81267" w:rsidP="00E81267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E81267" w:rsidRDefault="00E81267" w:rsidP="00E81267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lastRenderedPageBreak/>
        <w:t>Strategic growth – what can faculty do to facilitate and successfully incorporate the growth and new faculty?</w:t>
      </w:r>
    </w:p>
    <w:p w:rsidR="00302857" w:rsidRDefault="00302857" w:rsidP="00302857">
      <w:p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</w:p>
    <w:p w:rsidR="00F210A6" w:rsidRDefault="00F210A6" w:rsidP="00F210A6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B92495" w:rsidRDefault="00B92495" w:rsidP="00B92495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4AC" w:rsidRDefault="005404AC">
      <w:r>
        <w:separator/>
      </w:r>
    </w:p>
  </w:endnote>
  <w:endnote w:type="continuationSeparator" w:id="0">
    <w:p w:rsidR="005404AC" w:rsidRDefault="00540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4AC" w:rsidRDefault="005404AC">
      <w:r>
        <w:separator/>
      </w:r>
    </w:p>
  </w:footnote>
  <w:footnote w:type="continuationSeparator" w:id="0">
    <w:p w:rsidR="005404AC" w:rsidRDefault="005404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A65F5"/>
    <w:multiLevelType w:val="multilevel"/>
    <w:tmpl w:val="6380B122"/>
    <w:lvl w:ilvl="0">
      <w:start w:val="1"/>
      <w:numFmt w:val="decimal"/>
      <w:lvlText w:val="%1.0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1800"/>
      </w:pPr>
      <w:rPr>
        <w:rFonts w:hint="default"/>
      </w:rPr>
    </w:lvl>
  </w:abstractNum>
  <w:abstractNum w:abstractNumId="1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E7A6A57"/>
    <w:multiLevelType w:val="hybridMultilevel"/>
    <w:tmpl w:val="CC8A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09F030B"/>
    <w:multiLevelType w:val="hybridMultilevel"/>
    <w:tmpl w:val="F71A4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C77014"/>
    <w:multiLevelType w:val="hybridMultilevel"/>
    <w:tmpl w:val="10B68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FC675C"/>
    <w:multiLevelType w:val="hybridMultilevel"/>
    <w:tmpl w:val="E9E0D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4344BE8"/>
    <w:multiLevelType w:val="hybridMultilevel"/>
    <w:tmpl w:val="CFF44F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C2C0400">
      <w:start w:val="1"/>
      <w:numFmt w:val="decimal"/>
      <w:lvlText w:val="%3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7BAF45B6"/>
    <w:multiLevelType w:val="hybridMultilevel"/>
    <w:tmpl w:val="4C4EC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1"/>
  </w:num>
  <w:num w:numId="5">
    <w:abstractNumId w:val="14"/>
  </w:num>
  <w:num w:numId="6">
    <w:abstractNumId w:val="13"/>
  </w:num>
  <w:num w:numId="7">
    <w:abstractNumId w:val="16"/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2"/>
  </w:num>
  <w:num w:numId="11">
    <w:abstractNumId w:val="12"/>
  </w:num>
  <w:num w:numId="12">
    <w:abstractNumId w:val="15"/>
  </w:num>
  <w:num w:numId="13">
    <w:abstractNumId w:val="4"/>
  </w:num>
  <w:num w:numId="14">
    <w:abstractNumId w:val="0"/>
  </w:num>
  <w:num w:numId="15">
    <w:abstractNumId w:val="8"/>
  </w:num>
  <w:num w:numId="16">
    <w:abstractNumId w:val="7"/>
  </w:num>
  <w:num w:numId="17">
    <w:abstractNumId w:val="6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515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2857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4AC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B6A03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C746F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2495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A52F6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3DC4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81267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10A6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DD762C03</Template>
  <TotalTime>91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16</cp:revision>
  <cp:lastPrinted>2007-04-09T18:57:00Z</cp:lastPrinted>
  <dcterms:created xsi:type="dcterms:W3CDTF">2012-04-03T15:40:00Z</dcterms:created>
  <dcterms:modified xsi:type="dcterms:W3CDTF">2013-10-24T15:53:00Z</dcterms:modified>
</cp:coreProperties>
</file>