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1A" w:rsidRDefault="003A021A" w:rsidP="003A021A">
      <w:pPr>
        <w:rPr>
          <w:b/>
        </w:rPr>
      </w:pPr>
      <w:r>
        <w:rPr>
          <w:b/>
        </w:rPr>
        <w:t>School of Engineering Education Graduate Program</w:t>
      </w:r>
    </w:p>
    <w:p w:rsidR="003A021A" w:rsidRPr="003A021A" w:rsidRDefault="003A021A" w:rsidP="003A021A">
      <w:pPr>
        <w:rPr>
          <w:b/>
          <w:sz w:val="32"/>
          <w:szCs w:val="32"/>
        </w:rPr>
      </w:pPr>
      <w:r w:rsidRPr="003A021A">
        <w:rPr>
          <w:b/>
          <w:sz w:val="32"/>
          <w:szCs w:val="32"/>
        </w:rPr>
        <w:t>PLAN OF STUDY CHECKLIST FOR COMPLETENESS AND COMPLIANCE</w:t>
      </w:r>
    </w:p>
    <w:p w:rsidR="003A021A" w:rsidRPr="003A021A" w:rsidRDefault="003A021A" w:rsidP="003A021A">
      <w:pPr>
        <w:rPr>
          <w:b/>
          <w:sz w:val="32"/>
          <w:szCs w:val="32"/>
        </w:rPr>
      </w:pPr>
    </w:p>
    <w:p w:rsidR="003A021A" w:rsidRPr="00D90340" w:rsidRDefault="003A021A" w:rsidP="003A021A">
      <w:pPr>
        <w:rPr>
          <w:b/>
        </w:rPr>
      </w:pPr>
      <w:r w:rsidRPr="00D90340">
        <w:rPr>
          <w:b/>
        </w:rPr>
        <w:t>Completeness:</w:t>
      </w:r>
    </w:p>
    <w:p w:rsidR="003A021A" w:rsidRPr="00D969BC" w:rsidRDefault="003A021A" w:rsidP="003A021A">
      <w:pPr>
        <w:rPr>
          <w:rFonts w:ascii="Arial Narrow" w:hAnsi="Arial Narrow"/>
        </w:rPr>
      </w:pPr>
    </w:p>
    <w:tbl>
      <w:tblPr>
        <w:tblStyle w:val="TableGrid"/>
        <w:tblW w:w="9558" w:type="dxa"/>
        <w:tblLook w:val="00BF"/>
      </w:tblPr>
      <w:tblGrid>
        <w:gridCol w:w="738"/>
        <w:gridCol w:w="8820"/>
      </w:tblGrid>
      <w:tr w:rsidR="003A021A" w:rsidRPr="006D0C77" w:rsidTr="00B4671E">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All ENE required courses (the minimum 41 course credits of ENE doctoral and specialization course requirements) are identified on Plan of Study and with completion dates</w:t>
            </w:r>
            <w:r>
              <w:rPr>
                <w:rFonts w:cs="Times New Roman"/>
              </w:rPr>
              <w:t xml:space="preserve"> (includes anticipated completion dates)</w:t>
            </w:r>
            <w:r w:rsidRPr="006D0C77">
              <w:rPr>
                <w:rFonts w:cs="Times New Roman"/>
              </w:rPr>
              <w:t>.</w:t>
            </w:r>
          </w:p>
        </w:tc>
      </w:tr>
      <w:tr w:rsidR="003A021A" w:rsidRPr="006D0C77" w:rsidTr="00B4671E">
        <w:tc>
          <w:tcPr>
            <w:tcW w:w="738" w:type="dxa"/>
          </w:tcPr>
          <w:p w:rsidR="003A021A" w:rsidRDefault="003A021A" w:rsidP="00B4671E">
            <w:pPr>
              <w:jc w:val="center"/>
            </w:pPr>
          </w:p>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ind w:left="54"/>
              <w:jc w:val="both"/>
              <w:rPr>
                <w:rFonts w:cs="Times New Roman"/>
              </w:rPr>
            </w:pPr>
            <w:r w:rsidRPr="006D0C77">
              <w:rPr>
                <w:rFonts w:cs="Times New Roman"/>
              </w:rPr>
              <w:t xml:space="preserve">90 semester credit hours of which at least 60 of these 90 must be earned beyond a master’s degree </w:t>
            </w:r>
          </w:p>
          <w:p w:rsidR="003A021A" w:rsidRPr="00480A82" w:rsidRDefault="003A021A" w:rsidP="003A021A">
            <w:pPr>
              <w:pStyle w:val="ListParagraph"/>
              <w:widowControl w:val="0"/>
              <w:numPr>
                <w:ilvl w:val="0"/>
                <w:numId w:val="1"/>
              </w:numPr>
              <w:autoSpaceDE w:val="0"/>
              <w:autoSpaceDN w:val="0"/>
              <w:adjustRightInd w:val="0"/>
              <w:spacing w:after="0"/>
              <w:ind w:left="342" w:hanging="360"/>
              <w:jc w:val="both"/>
              <w:rPr>
                <w:szCs w:val="23"/>
              </w:rPr>
            </w:pPr>
            <w:r w:rsidRPr="00480A82">
              <w:rPr>
                <w:rFonts w:cs="Times New Roman"/>
              </w:rPr>
              <w:t>A</w:t>
            </w:r>
            <w:r>
              <w:t>t least one-third of the total credit hours used to satisfy the PhD degree requirements earned while registered for doctoral study at Purdue (residency requirement)</w:t>
            </w:r>
          </w:p>
          <w:p w:rsidR="003A021A" w:rsidRPr="00480A82" w:rsidRDefault="003A021A" w:rsidP="003A021A">
            <w:pPr>
              <w:pStyle w:val="ListParagraph"/>
              <w:widowControl w:val="0"/>
              <w:numPr>
                <w:ilvl w:val="0"/>
                <w:numId w:val="1"/>
              </w:numPr>
              <w:autoSpaceDE w:val="0"/>
              <w:autoSpaceDN w:val="0"/>
              <w:adjustRightInd w:val="0"/>
              <w:spacing w:after="0"/>
              <w:ind w:left="342" w:hanging="360"/>
              <w:jc w:val="both"/>
              <w:rPr>
                <w:szCs w:val="23"/>
              </w:rPr>
            </w:pPr>
            <w:r w:rsidRPr="00480A82">
              <w:rPr>
                <w:rFonts w:cs="Times New Roman"/>
              </w:rPr>
              <w:t xml:space="preserve">Coursework taken as part of a master’s degree may be considered to contribute up to 30 credit hours towards satisfying the total 90 credits </w:t>
            </w:r>
            <w:r>
              <w:rPr>
                <w:rFonts w:cs="Times New Roman"/>
              </w:rPr>
              <w:t xml:space="preserve">requirement.  9 credits may be </w:t>
            </w:r>
            <w:r w:rsidRPr="00480A82">
              <w:rPr>
                <w:rFonts w:cs="Times New Roman"/>
              </w:rPr>
              <w:t xml:space="preserve">towards Engineering Specialization – these credits are identified </w:t>
            </w:r>
            <w:r w:rsidRPr="00480A82">
              <w:rPr>
                <w:rFonts w:cs="Times New Roman"/>
                <w:b/>
              </w:rPr>
              <w:t>only</w:t>
            </w:r>
            <w:r w:rsidRPr="00480A82">
              <w:rPr>
                <w:rFonts w:cs="Times New Roman"/>
              </w:rPr>
              <w:t xml:space="preserve"> in a comment box.</w:t>
            </w:r>
          </w:p>
          <w:p w:rsidR="003A021A" w:rsidRPr="006D0C77" w:rsidRDefault="003A021A" w:rsidP="003A021A">
            <w:pPr>
              <w:pStyle w:val="ListParagraph"/>
              <w:widowControl w:val="0"/>
              <w:numPr>
                <w:ilvl w:val="0"/>
                <w:numId w:val="1"/>
              </w:numPr>
              <w:autoSpaceDE w:val="0"/>
              <w:autoSpaceDN w:val="0"/>
              <w:adjustRightInd w:val="0"/>
              <w:spacing w:after="0"/>
              <w:ind w:left="342" w:hanging="360"/>
              <w:jc w:val="both"/>
              <w:rPr>
                <w:szCs w:val="23"/>
              </w:rPr>
            </w:pPr>
            <w:r w:rsidRPr="006D0C77">
              <w:rPr>
                <w:rFonts w:cs="Times New Roman"/>
              </w:rPr>
              <w:t>Any additional credit hours to bring the total up to 90 credit hours.</w:t>
            </w:r>
          </w:p>
          <w:p w:rsidR="003A021A" w:rsidRPr="006D0C77" w:rsidRDefault="003A021A" w:rsidP="003A021A">
            <w:pPr>
              <w:pStyle w:val="ListParagraph"/>
              <w:widowControl w:val="0"/>
              <w:numPr>
                <w:ilvl w:val="0"/>
                <w:numId w:val="1"/>
              </w:numPr>
              <w:autoSpaceDE w:val="0"/>
              <w:autoSpaceDN w:val="0"/>
              <w:adjustRightInd w:val="0"/>
              <w:spacing w:after="0"/>
              <w:ind w:left="342" w:hanging="360"/>
              <w:jc w:val="both"/>
              <w:rPr>
                <w:rFonts w:cs="Times New Roman"/>
              </w:rPr>
            </w:pPr>
            <w:r w:rsidRPr="006D0C77">
              <w:rPr>
                <w:rFonts w:cs="Times New Roman"/>
              </w:rPr>
              <w:t xml:space="preserve">Students who do not have a B.S. or M.S. in engineering may need preparatory courses to undertake graduate level coursework in engineering.  </w:t>
            </w:r>
          </w:p>
        </w:tc>
      </w:tr>
      <w:tr w:rsidR="003A021A" w:rsidRPr="006D0C77" w:rsidTr="00B4671E">
        <w:trPr>
          <w:trHeight w:val="854"/>
        </w:trPr>
        <w:tc>
          <w:tcPr>
            <w:tcW w:w="738" w:type="dxa"/>
          </w:tcPr>
          <w:p w:rsidR="003A021A" w:rsidRDefault="003A021A" w:rsidP="00B4671E"/>
          <w:p w:rsidR="003A021A" w:rsidRPr="006D0C77" w:rsidRDefault="003A021A" w:rsidP="00B4671E">
            <w:pPr>
              <w:jc w:val="center"/>
            </w:pPr>
            <w:r w:rsidRPr="006D0C77">
              <w:sym w:font="Webdings" w:char="F063"/>
            </w:r>
          </w:p>
        </w:tc>
        <w:tc>
          <w:tcPr>
            <w:tcW w:w="8820" w:type="dxa"/>
          </w:tcPr>
          <w:p w:rsidR="003A021A" w:rsidRDefault="003A021A" w:rsidP="00B4671E">
            <w:pPr>
              <w:widowControl w:val="0"/>
              <w:autoSpaceDE w:val="0"/>
              <w:autoSpaceDN w:val="0"/>
              <w:adjustRightInd w:val="0"/>
              <w:ind w:left="54"/>
              <w:jc w:val="both"/>
              <w:rPr>
                <w:rFonts w:cs="Times New Roman"/>
              </w:rPr>
            </w:pPr>
            <w:r>
              <w:rPr>
                <w:rFonts w:cs="Times New Roman"/>
              </w:rPr>
              <w:t xml:space="preserve">The student’s Major Professor has typed in the number of credits to be used from the student’s masters and clicked the box indicating that they have checked the accuracy of this number. </w:t>
            </w:r>
          </w:p>
          <w:p w:rsidR="003A021A" w:rsidRDefault="003A021A" w:rsidP="00B4671E">
            <w:pPr>
              <w:widowControl w:val="0"/>
              <w:autoSpaceDE w:val="0"/>
              <w:autoSpaceDN w:val="0"/>
              <w:adjustRightInd w:val="0"/>
              <w:ind w:left="54"/>
              <w:jc w:val="both"/>
              <w:rPr>
                <w:rFonts w:cs="Times New Roman"/>
              </w:rPr>
            </w:pPr>
          </w:p>
          <w:p w:rsidR="003A021A" w:rsidRPr="00B3560C" w:rsidRDefault="003A021A" w:rsidP="00B4671E">
            <w:pPr>
              <w:widowControl w:val="0"/>
              <w:autoSpaceDE w:val="0"/>
              <w:autoSpaceDN w:val="0"/>
              <w:adjustRightInd w:val="0"/>
              <w:ind w:left="54"/>
              <w:jc w:val="both"/>
              <w:rPr>
                <w:rFonts w:cs="Times New Roman"/>
              </w:rPr>
            </w:pPr>
            <w:r>
              <w:rPr>
                <w:rFonts w:cs="Times New Roman"/>
              </w:rPr>
              <w:t xml:space="preserve">This is a new Graduate School requirement activated August 2011:  </w:t>
            </w:r>
            <w:r w:rsidRPr="00B3560C">
              <w:rPr>
                <w:rFonts w:cs="Times New Roman"/>
              </w:rPr>
              <w:t xml:space="preserve">Students should not list courses to transfer from their masters on their POS.  Rather, they must confirm with their Major Professor how many (and which) course credits they wish to use towards their PhD.  After the student submits their POS for approval, their Major Professor must type in the number of credits to be used from the student’s masters and click the box indicating that they have checked the accuracy of this number. </w:t>
            </w:r>
          </w:p>
          <w:p w:rsidR="003A021A" w:rsidRPr="006D0C77" w:rsidRDefault="003A021A" w:rsidP="00B4671E">
            <w:pPr>
              <w:widowControl w:val="0"/>
              <w:autoSpaceDE w:val="0"/>
              <w:autoSpaceDN w:val="0"/>
              <w:adjustRightInd w:val="0"/>
              <w:ind w:left="54"/>
              <w:jc w:val="both"/>
              <w:rPr>
                <w:rFonts w:cs="Times New Roman"/>
              </w:rPr>
            </w:pPr>
          </w:p>
        </w:tc>
      </w:tr>
    </w:tbl>
    <w:p w:rsidR="003A021A" w:rsidRDefault="003A021A" w:rsidP="003A021A"/>
    <w:p w:rsidR="003A021A" w:rsidRPr="00D90340" w:rsidRDefault="003A021A" w:rsidP="003A021A">
      <w:pPr>
        <w:rPr>
          <w:b/>
        </w:rPr>
      </w:pPr>
      <w:r w:rsidRPr="00D90340">
        <w:rPr>
          <w:b/>
        </w:rPr>
        <w:t>Compliance:</w:t>
      </w:r>
    </w:p>
    <w:p w:rsidR="003A021A" w:rsidRDefault="003A021A" w:rsidP="003A021A"/>
    <w:tbl>
      <w:tblPr>
        <w:tblStyle w:val="TableGrid"/>
        <w:tblW w:w="9558" w:type="dxa"/>
        <w:tblLook w:val="00BF"/>
      </w:tblPr>
      <w:tblGrid>
        <w:gridCol w:w="738"/>
        <w:gridCol w:w="8820"/>
      </w:tblGrid>
      <w:tr w:rsidR="003A021A" w:rsidRPr="006D0C77" w:rsidTr="00B4671E">
        <w:trPr>
          <w:trHeight w:val="395"/>
        </w:trPr>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Neither 100- nor 200-level courses may appear on a doctoral Plan of Study.</w:t>
            </w:r>
          </w:p>
        </w:tc>
      </w:tr>
      <w:tr w:rsidR="003A021A" w:rsidRPr="006D0C77" w:rsidTr="00B4671E">
        <w:trPr>
          <w:trHeight w:val="350"/>
        </w:trPr>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Not more than one 400-level course (grade B- or better) may appear on a doctoral Plan of Study.</w:t>
            </w:r>
          </w:p>
        </w:tc>
      </w:tr>
      <w:tr w:rsidR="003A021A" w:rsidRPr="006D0C77" w:rsidTr="00B4671E">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 xml:space="preserve">No more than 12 total hours of credit earned in post baccalaureate, post degree, teacher license, or graduate certificate status may be used on a plan of study. </w:t>
            </w:r>
          </w:p>
        </w:tc>
      </w:tr>
      <w:tr w:rsidR="003A021A" w:rsidRPr="006D0C77" w:rsidTr="00B4671E">
        <w:trPr>
          <w:trHeight w:val="485"/>
        </w:trPr>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A student may include up to 6 credits of ENE 590 on their Plan of Study.  Any additional credits must be approved by the student’s Committee</w:t>
            </w:r>
          </w:p>
        </w:tc>
      </w:tr>
      <w:tr w:rsidR="003A021A" w:rsidRPr="006D0C77" w:rsidTr="00B4671E">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Only grades of 3.0 (out of 4.0) or better may be considered towards fulfilling Plan of Study requirements.</w:t>
            </w:r>
          </w:p>
        </w:tc>
      </w:tr>
      <w:tr w:rsidR="003A021A" w:rsidRPr="006D0C77" w:rsidTr="00B4671E">
        <w:trPr>
          <w:trHeight w:val="359"/>
        </w:trPr>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Courses taken as pass/not pass or satisfactory/unsatisfactory are unacceptable on Plans of Study.</w:t>
            </w:r>
          </w:p>
        </w:tc>
      </w:tr>
      <w:tr w:rsidR="003A021A" w:rsidRPr="006D0C77" w:rsidTr="00B4671E">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Credits earned for graduate study at other universities (both domestic and international) may be applied toward an advanced degree.  Only credit hours associated with graduate courses for which grades of B-</w:t>
            </w:r>
            <w:r w:rsidRPr="006D0C77">
              <w:rPr>
                <w:rFonts w:cs="Times"/>
              </w:rPr>
              <w:t xml:space="preserve"> </w:t>
            </w:r>
            <w:r w:rsidRPr="006D0C77">
              <w:rPr>
                <w:rFonts w:cs="Times New Roman"/>
              </w:rPr>
              <w:t xml:space="preserve">or better were obtained will be eligible for transfer.  </w:t>
            </w:r>
          </w:p>
        </w:tc>
      </w:tr>
      <w:tr w:rsidR="003A021A" w:rsidRPr="006D0C77" w:rsidTr="00B4671E">
        <w:tc>
          <w:tcPr>
            <w:tcW w:w="738" w:type="dxa"/>
            <w:vAlign w:val="center"/>
          </w:tcPr>
          <w:p w:rsidR="003A021A" w:rsidRPr="006D0C77" w:rsidRDefault="003A021A" w:rsidP="00B4671E">
            <w:pPr>
              <w:jc w:val="center"/>
            </w:pPr>
            <w:r w:rsidRPr="006D0C77">
              <w:sym w:font="Webdings" w:char="F063"/>
            </w:r>
          </w:p>
        </w:tc>
        <w:tc>
          <w:tcPr>
            <w:tcW w:w="8820" w:type="dxa"/>
          </w:tcPr>
          <w:p w:rsidR="003A021A" w:rsidRPr="006D0C77" w:rsidRDefault="003A021A" w:rsidP="00B4671E">
            <w:pPr>
              <w:widowControl w:val="0"/>
              <w:autoSpaceDE w:val="0"/>
              <w:autoSpaceDN w:val="0"/>
              <w:adjustRightInd w:val="0"/>
              <w:jc w:val="both"/>
              <w:rPr>
                <w:rFonts w:cs="Times New Roman"/>
              </w:rPr>
            </w:pPr>
            <w:r w:rsidRPr="006D0C77">
              <w:rPr>
                <w:rFonts w:cs="Times New Roman"/>
              </w:rPr>
              <w:t xml:space="preserve">Course credits earned by a student whose graduate study and/or professional activity </w:t>
            </w:r>
            <w:proofErr w:type="gramStart"/>
            <w:r w:rsidRPr="006D0C77">
              <w:rPr>
                <w:rFonts w:cs="Times New Roman"/>
              </w:rPr>
              <w:t>has</w:t>
            </w:r>
            <w:proofErr w:type="gramEnd"/>
            <w:r w:rsidRPr="006D0C77">
              <w:rPr>
                <w:rFonts w:cs="Times New Roman"/>
              </w:rPr>
              <w:t xml:space="preserve"> been inactive for five years or more cannot be used on a plan of study for an advanced degree.  In unique cases, the Graduate Committee may approve an extension provided a case is made on the part of the student that both the student’s knowledge and the content have remained “current”.</w:t>
            </w:r>
          </w:p>
        </w:tc>
      </w:tr>
    </w:tbl>
    <w:p w:rsidR="007F5DE5" w:rsidRDefault="00B3560C"/>
    <w:sectPr w:rsidR="007F5DE5" w:rsidSect="003A02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14ACF"/>
    <w:multiLevelType w:val="hybridMultilevel"/>
    <w:tmpl w:val="7DE2B0B0"/>
    <w:lvl w:ilvl="0" w:tplc="BC3AB31A">
      <w:start w:val="1"/>
      <w:numFmt w:val="bullet"/>
      <w:lvlText w:val=""/>
      <w:lvlJc w:val="left"/>
      <w:pPr>
        <w:ind w:left="630" w:hanging="576"/>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A021A"/>
    <w:rsid w:val="000021C8"/>
    <w:rsid w:val="000D10E9"/>
    <w:rsid w:val="001A7CD9"/>
    <w:rsid w:val="003A021A"/>
    <w:rsid w:val="00641A92"/>
    <w:rsid w:val="00B3560C"/>
    <w:rsid w:val="00C1407E"/>
    <w:rsid w:val="00D56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1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1A"/>
    <w:pPr>
      <w:spacing w:after="200"/>
      <w:ind w:left="720"/>
      <w:contextualSpacing/>
    </w:pPr>
    <w:rPr>
      <w:sz w:val="22"/>
      <w:szCs w:val="22"/>
    </w:rPr>
  </w:style>
  <w:style w:type="table" w:styleId="TableGrid">
    <w:name w:val="Table Grid"/>
    <w:basedOn w:val="TableNormal"/>
    <w:rsid w:val="003A0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2658</Characters>
  <Application>Microsoft Office Word</Application>
  <DocSecurity>0</DocSecurity>
  <Lines>22</Lines>
  <Paragraphs>6</Paragraphs>
  <ScaleCrop>false</ScaleCrop>
  <Company>Engineering Computer Network</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lisat</dc:creator>
  <cp:keywords/>
  <dc:description/>
  <cp:lastModifiedBy>lisat</cp:lastModifiedBy>
  <cp:revision>3</cp:revision>
  <dcterms:created xsi:type="dcterms:W3CDTF">2012-11-12T19:11:00Z</dcterms:created>
  <dcterms:modified xsi:type="dcterms:W3CDTF">2012-11-12T19:14:00Z</dcterms:modified>
</cp:coreProperties>
</file>